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73FC" w14:textId="77777777" w:rsidR="009938AD" w:rsidRPr="00A0019E" w:rsidRDefault="00A0019E" w:rsidP="009938AD">
      <w:pPr>
        <w:jc w:val="center"/>
        <w:rPr>
          <w:rStyle w:val="Heading5Char"/>
          <w:rFonts w:asciiTheme="minorHAnsi" w:eastAsiaTheme="minorHAnsi" w:hAnsiTheme="minorHAnsi" w:cstheme="minorBidi"/>
          <w:color w:val="auto"/>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1CBB7FE3" w14:textId="77777777" w:rsidR="002867B8" w:rsidRPr="00D85BAE" w:rsidRDefault="00D85BAE" w:rsidP="00D85BAE">
      <w:pPr>
        <w:pStyle w:val="ListParagraph"/>
        <w:numPr>
          <w:ilvl w:val="0"/>
          <w:numId w:val="2"/>
        </w:numPr>
        <w:rPr>
          <w:sz w:val="21"/>
          <w:szCs w:val="21"/>
        </w:rPr>
      </w:pPr>
      <w:r>
        <w:t>LTC02G Group Long-Term Care – Home Health Care Only</w:t>
      </w:r>
    </w:p>
    <w:p w14:paraId="6025EC53" w14:textId="77777777" w:rsidR="00D85BAE" w:rsidRPr="00D85BAE" w:rsidRDefault="00D85BAE" w:rsidP="00D85BAE">
      <w:pPr>
        <w:pStyle w:val="ListParagraph"/>
        <w:numPr>
          <w:ilvl w:val="0"/>
          <w:numId w:val="2"/>
        </w:numPr>
        <w:rPr>
          <w:sz w:val="21"/>
          <w:szCs w:val="21"/>
        </w:rPr>
      </w:pPr>
      <w:r>
        <w:t>LTC02I Individual Long-Term Care – Home Health Care Only</w:t>
      </w:r>
    </w:p>
    <w:p w14:paraId="29E80338" w14:textId="77777777" w:rsidR="00D85BAE" w:rsidRPr="00D85BAE" w:rsidRDefault="00D85BAE" w:rsidP="00D85BAE">
      <w:pPr>
        <w:pStyle w:val="ListParagraph"/>
        <w:numPr>
          <w:ilvl w:val="0"/>
          <w:numId w:val="2"/>
        </w:numPr>
        <w:rPr>
          <w:sz w:val="21"/>
          <w:szCs w:val="21"/>
        </w:rPr>
      </w:pPr>
      <w:r>
        <w:t>LTC03G Group Long-Term Care</w:t>
      </w:r>
    </w:p>
    <w:p w14:paraId="44D057BB" w14:textId="77777777" w:rsidR="00D85BAE" w:rsidRPr="00D85BAE" w:rsidRDefault="00D85BAE" w:rsidP="00D85BAE">
      <w:pPr>
        <w:pStyle w:val="ListParagraph"/>
        <w:numPr>
          <w:ilvl w:val="0"/>
          <w:numId w:val="2"/>
        </w:numPr>
        <w:rPr>
          <w:sz w:val="21"/>
          <w:szCs w:val="21"/>
        </w:rPr>
      </w:pPr>
      <w:r>
        <w:t>LTC03I Individual Long-Term Care</w:t>
      </w:r>
    </w:p>
    <w:p w14:paraId="07C2795A" w14:textId="77777777" w:rsidR="00D85BAE" w:rsidRPr="00D85BAE" w:rsidRDefault="00D85BAE" w:rsidP="00D85BAE">
      <w:pPr>
        <w:pStyle w:val="ListParagraph"/>
        <w:numPr>
          <w:ilvl w:val="0"/>
          <w:numId w:val="2"/>
        </w:numPr>
        <w:rPr>
          <w:sz w:val="21"/>
          <w:szCs w:val="21"/>
        </w:rPr>
      </w:pPr>
      <w:r>
        <w:t>LTC04G Group Long-Term Care – Nursing Home</w:t>
      </w:r>
    </w:p>
    <w:p w14:paraId="4AB6320F" w14:textId="77777777" w:rsidR="00D85BAE" w:rsidRPr="00D85BAE" w:rsidRDefault="00D85BAE" w:rsidP="00D85BAE">
      <w:pPr>
        <w:pStyle w:val="ListParagraph"/>
        <w:numPr>
          <w:ilvl w:val="0"/>
          <w:numId w:val="2"/>
        </w:numPr>
        <w:rPr>
          <w:sz w:val="21"/>
          <w:szCs w:val="21"/>
        </w:rPr>
      </w:pPr>
      <w:r>
        <w:t>LTC04I Individual Long-Term Care – Nursing Home</w:t>
      </w:r>
    </w:p>
    <w:p w14:paraId="4AAB4469" w14:textId="77777777" w:rsidR="00D85BAE" w:rsidRPr="00D85BAE" w:rsidRDefault="00D85BAE" w:rsidP="00D85BAE">
      <w:pPr>
        <w:pStyle w:val="ListParagraph"/>
        <w:numPr>
          <w:ilvl w:val="0"/>
          <w:numId w:val="2"/>
        </w:numPr>
        <w:rPr>
          <w:sz w:val="21"/>
          <w:szCs w:val="21"/>
        </w:rPr>
      </w:pPr>
      <w:r>
        <w:t>LTC05G Group Long-Term Care – Nursing Home &amp; Home Health Care</w:t>
      </w:r>
    </w:p>
    <w:p w14:paraId="276C5D9E" w14:textId="77777777" w:rsidR="00D85BAE" w:rsidRPr="00D85BAE" w:rsidRDefault="00D85BAE" w:rsidP="00D85BAE">
      <w:pPr>
        <w:pStyle w:val="ListParagraph"/>
        <w:numPr>
          <w:ilvl w:val="0"/>
          <w:numId w:val="2"/>
        </w:numPr>
        <w:rPr>
          <w:sz w:val="21"/>
          <w:szCs w:val="21"/>
        </w:rPr>
      </w:pPr>
      <w:r>
        <w:t>LTC05I Individual Long-Term Care – Nursing Home &amp; Home Health Care</w:t>
      </w:r>
    </w:p>
    <w:p w14:paraId="03503857" w14:textId="77777777" w:rsidR="00D85BAE" w:rsidRPr="00D85BAE" w:rsidRDefault="00D85BAE" w:rsidP="00D85BAE">
      <w:pPr>
        <w:pStyle w:val="ListParagraph"/>
        <w:numPr>
          <w:ilvl w:val="0"/>
          <w:numId w:val="2"/>
        </w:numPr>
        <w:rPr>
          <w:sz w:val="21"/>
          <w:szCs w:val="21"/>
        </w:rPr>
      </w:pPr>
      <w:r>
        <w:t>LTC05.1G Group Assisted Living Care</w:t>
      </w:r>
    </w:p>
    <w:p w14:paraId="378E0F16" w14:textId="77777777" w:rsidR="00D85BAE" w:rsidRPr="00D85BAE" w:rsidRDefault="00D85BAE" w:rsidP="00D85BAE">
      <w:pPr>
        <w:pStyle w:val="ListParagraph"/>
        <w:numPr>
          <w:ilvl w:val="0"/>
          <w:numId w:val="2"/>
        </w:numPr>
        <w:rPr>
          <w:sz w:val="21"/>
          <w:szCs w:val="21"/>
        </w:rPr>
      </w:pPr>
      <w:r>
        <w:t>LTC05.1I Individual Assisted Living Care</w:t>
      </w:r>
    </w:p>
    <w:p w14:paraId="5FE5A2A6" w14:textId="77777777" w:rsidR="00D85BAE" w:rsidRPr="00D85BAE" w:rsidRDefault="00D85BAE" w:rsidP="00D85BAE">
      <w:pPr>
        <w:pStyle w:val="ListParagraph"/>
        <w:numPr>
          <w:ilvl w:val="0"/>
          <w:numId w:val="2"/>
        </w:numPr>
        <w:rPr>
          <w:sz w:val="21"/>
          <w:szCs w:val="21"/>
        </w:rPr>
      </w:pPr>
      <w:r>
        <w:t>LTC05.2G Group Adult Day Care</w:t>
      </w:r>
    </w:p>
    <w:p w14:paraId="079D9B1E" w14:textId="77777777" w:rsidR="00D85BAE" w:rsidRPr="00D85BAE" w:rsidRDefault="00D85BAE" w:rsidP="00D85BAE">
      <w:pPr>
        <w:pStyle w:val="ListParagraph"/>
        <w:numPr>
          <w:ilvl w:val="0"/>
          <w:numId w:val="2"/>
        </w:numPr>
        <w:rPr>
          <w:sz w:val="21"/>
          <w:szCs w:val="21"/>
        </w:rPr>
      </w:pPr>
      <w:r>
        <w:t>LTC05.2I Individual Adult Day Care</w:t>
      </w:r>
    </w:p>
    <w:p w14:paraId="44547516" w14:textId="77777777" w:rsidR="00D85BAE" w:rsidRPr="00D85BAE" w:rsidRDefault="00D85BAE" w:rsidP="00D85BAE">
      <w:pPr>
        <w:pStyle w:val="ListParagraph"/>
        <w:numPr>
          <w:ilvl w:val="0"/>
          <w:numId w:val="2"/>
        </w:numPr>
        <w:rPr>
          <w:sz w:val="21"/>
          <w:szCs w:val="21"/>
        </w:rPr>
      </w:pPr>
      <w:r>
        <w:t>LTC06 Long-Term Care – Other</w:t>
      </w:r>
    </w:p>
    <w:p w14:paraId="771CA6C1" w14:textId="66917A1E" w:rsidR="00D50088" w:rsidRDefault="001142D4" w:rsidP="00D50088">
      <w:pPr>
        <w:rPr>
          <w:sz w:val="21"/>
          <w:szCs w:val="21"/>
        </w:rPr>
      </w:pPr>
      <w:r>
        <w:rPr>
          <w:sz w:val="21"/>
          <w:szCs w:val="21"/>
        </w:rPr>
        <w:t xml:space="preserve">The disclosures required below will likely vary by insurer or product.  These </w:t>
      </w:r>
      <w:r w:rsidR="00BF7D68">
        <w:rPr>
          <w:sz w:val="21"/>
          <w:szCs w:val="21"/>
        </w:rPr>
        <w:t>disclosures</w:t>
      </w:r>
      <w:r>
        <w:rPr>
          <w:sz w:val="21"/>
          <w:szCs w:val="21"/>
        </w:rPr>
        <w:t xml:space="preserve"> may be included as part of the increase notification letter or included in an attachment to the letter, and the insurer may include as much detail as necessary to relay concise and easy to understand information to the consumer regarding these elements of the rate increase.</w:t>
      </w:r>
    </w:p>
    <w:p w14:paraId="7606AF15" w14:textId="2D041F23" w:rsidR="007F0116" w:rsidRPr="00D50088" w:rsidRDefault="007F0116" w:rsidP="00D50088">
      <w:pPr>
        <w:rPr>
          <w:sz w:val="21"/>
          <w:szCs w:val="21"/>
        </w:rPr>
      </w:pPr>
      <w:r>
        <w:rPr>
          <w:sz w:val="21"/>
          <w:szCs w:val="21"/>
        </w:rPr>
        <w:t xml:space="preserve">Letters must be personalized to each insured so that dollar </w:t>
      </w:r>
      <w:proofErr w:type="gramStart"/>
      <w:r>
        <w:rPr>
          <w:sz w:val="21"/>
          <w:szCs w:val="21"/>
        </w:rPr>
        <w:t>amounts</w:t>
      </w:r>
      <w:proofErr w:type="gramEnd"/>
      <w:r>
        <w:rPr>
          <w:sz w:val="21"/>
          <w:szCs w:val="21"/>
        </w:rPr>
        <w:t xml:space="preserve"> and current benefits are accurate and only the option that apply to that policyholder are discussed.</w:t>
      </w:r>
    </w:p>
    <w:tbl>
      <w:tblPr>
        <w:tblStyle w:val="TableGrid"/>
        <w:tblW w:w="0" w:type="auto"/>
        <w:tblLook w:val="04A0" w:firstRow="1" w:lastRow="0" w:firstColumn="1" w:lastColumn="0" w:noHBand="0" w:noVBand="1"/>
      </w:tblPr>
      <w:tblGrid>
        <w:gridCol w:w="1174"/>
        <w:gridCol w:w="2338"/>
        <w:gridCol w:w="1387"/>
        <w:gridCol w:w="3075"/>
        <w:gridCol w:w="1376"/>
      </w:tblGrid>
      <w:tr w:rsidR="00796D1D" w:rsidRPr="00A0019E" w14:paraId="0658756F" w14:textId="77777777" w:rsidTr="00796D1D">
        <w:tc>
          <w:tcPr>
            <w:tcW w:w="1174" w:type="dxa"/>
            <w:shd w:val="clear" w:color="auto" w:fill="E7E6E6" w:themeFill="background2"/>
          </w:tcPr>
          <w:p w14:paraId="21362B2F" w14:textId="77777777" w:rsidR="00796D1D" w:rsidRPr="00A0019E" w:rsidRDefault="00796D1D" w:rsidP="003C6597">
            <w:pPr>
              <w:rPr>
                <w:b/>
                <w:sz w:val="21"/>
                <w:szCs w:val="21"/>
              </w:rPr>
            </w:pPr>
          </w:p>
        </w:tc>
        <w:tc>
          <w:tcPr>
            <w:tcW w:w="8176" w:type="dxa"/>
            <w:gridSpan w:val="4"/>
            <w:shd w:val="clear" w:color="auto" w:fill="E7E6E6" w:themeFill="background2"/>
          </w:tcPr>
          <w:p w14:paraId="3623614C" w14:textId="77777777"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7B9C2DDC" w14:textId="77777777" w:rsidTr="00796D1D">
        <w:tc>
          <w:tcPr>
            <w:tcW w:w="1174" w:type="dxa"/>
            <w:shd w:val="clear" w:color="auto" w:fill="FFFFFF" w:themeFill="background1"/>
          </w:tcPr>
          <w:p w14:paraId="0A9DC81E" w14:textId="77777777" w:rsidR="00796D1D" w:rsidRPr="00796D1D" w:rsidRDefault="00796D1D" w:rsidP="00694250">
            <w:pPr>
              <w:rPr>
                <w:sz w:val="21"/>
                <w:szCs w:val="21"/>
              </w:rPr>
            </w:pPr>
          </w:p>
        </w:tc>
        <w:tc>
          <w:tcPr>
            <w:tcW w:w="6800" w:type="dxa"/>
            <w:gridSpan w:val="3"/>
            <w:shd w:val="clear" w:color="auto" w:fill="FFFFFF" w:themeFill="background1"/>
          </w:tcPr>
          <w:p w14:paraId="4533F434" w14:textId="36C8BA92" w:rsidR="00796D1D" w:rsidRDefault="00796D1D" w:rsidP="00B54EFA">
            <w:pPr>
              <w:rPr>
                <w:sz w:val="21"/>
                <w:szCs w:val="21"/>
              </w:rPr>
            </w:pPr>
            <w:r w:rsidRPr="00796D1D">
              <w:rPr>
                <w:sz w:val="21"/>
                <w:szCs w:val="21"/>
              </w:rPr>
              <w:t xml:space="preserve">SERFF filing number and form numbers </w:t>
            </w:r>
            <w:r w:rsidR="00B54EFA">
              <w:rPr>
                <w:sz w:val="21"/>
                <w:szCs w:val="21"/>
              </w:rPr>
              <w:t>for policyholder letter and any riders/endorsements filed for approval: ________________</w:t>
            </w:r>
          </w:p>
          <w:p w14:paraId="4419232F" w14:textId="5E704E91" w:rsidR="00B54EFA" w:rsidRDefault="00B54EFA" w:rsidP="00B54EFA">
            <w:pPr>
              <w:rPr>
                <w:sz w:val="21"/>
                <w:szCs w:val="21"/>
              </w:rPr>
            </w:pPr>
            <w:r w:rsidRPr="00796D1D">
              <w:rPr>
                <w:sz w:val="21"/>
                <w:szCs w:val="21"/>
              </w:rPr>
              <w:t xml:space="preserve">SERFF filing number </w:t>
            </w:r>
            <w:r>
              <w:rPr>
                <w:sz w:val="21"/>
                <w:szCs w:val="21"/>
              </w:rPr>
              <w:t>for corresponding rate filing: ________________</w:t>
            </w:r>
          </w:p>
          <w:p w14:paraId="686A0173" w14:textId="77777777" w:rsidR="00B54EFA" w:rsidRDefault="00B54EFA" w:rsidP="00B54EFA">
            <w:pPr>
              <w:rPr>
                <w:sz w:val="21"/>
                <w:szCs w:val="21"/>
              </w:rPr>
            </w:pPr>
            <w:r>
              <w:rPr>
                <w:sz w:val="21"/>
                <w:szCs w:val="21"/>
              </w:rPr>
              <w:t xml:space="preserve">SERFF filing number(s) and form numbers for policies that will be affected by this rate </w:t>
            </w:r>
            <w:proofErr w:type="gramStart"/>
            <w:r>
              <w:rPr>
                <w:sz w:val="21"/>
                <w:szCs w:val="21"/>
              </w:rPr>
              <w:t>increase:_</w:t>
            </w:r>
            <w:proofErr w:type="gramEnd"/>
            <w:r>
              <w:rPr>
                <w:sz w:val="21"/>
                <w:szCs w:val="21"/>
              </w:rPr>
              <w:t>_______________</w:t>
            </w:r>
          </w:p>
          <w:p w14:paraId="6212E17E" w14:textId="75069C8D" w:rsidR="00B54EFA" w:rsidRPr="00B54EFA" w:rsidRDefault="00B54EFA" w:rsidP="00B54EFA">
            <w:pPr>
              <w:rPr>
                <w:i/>
                <w:sz w:val="21"/>
                <w:szCs w:val="21"/>
              </w:rPr>
            </w:pPr>
            <w:r>
              <w:rPr>
                <w:i/>
                <w:sz w:val="21"/>
                <w:szCs w:val="21"/>
              </w:rPr>
              <w:t>Note that if some policies were filed under one TOI and others were filed under a different TOI, there should be rate filings under matching TOIs and policyholder letter/endorsement filings under matching TOIs.</w:t>
            </w:r>
          </w:p>
        </w:tc>
        <w:tc>
          <w:tcPr>
            <w:tcW w:w="1376" w:type="dxa"/>
            <w:shd w:val="clear" w:color="auto" w:fill="FFFFFF" w:themeFill="background1"/>
          </w:tcPr>
          <w:p w14:paraId="09617A44" w14:textId="36992CE5" w:rsidR="00796D1D" w:rsidRPr="00796D1D" w:rsidRDefault="00B54EFA" w:rsidP="00694250">
            <w:pPr>
              <w:rPr>
                <w:sz w:val="21"/>
                <w:szCs w:val="21"/>
              </w:rPr>
            </w:pPr>
            <w:r>
              <w:rPr>
                <w:sz w:val="21"/>
                <w:szCs w:val="21"/>
              </w:rPr>
              <w:t>TOIs here</w:t>
            </w:r>
          </w:p>
        </w:tc>
      </w:tr>
      <w:tr w:rsidR="00A0019E" w:rsidRPr="00A0019E" w14:paraId="6413199F" w14:textId="77777777" w:rsidTr="008A0525">
        <w:tc>
          <w:tcPr>
            <w:tcW w:w="1174" w:type="dxa"/>
            <w:shd w:val="clear" w:color="auto" w:fill="E7E6E6" w:themeFill="background2"/>
          </w:tcPr>
          <w:p w14:paraId="319842BD" w14:textId="77777777" w:rsidR="003C6597" w:rsidRPr="00A0019E" w:rsidRDefault="003C6597" w:rsidP="003C6597">
            <w:pPr>
              <w:rPr>
                <w:b/>
                <w:sz w:val="21"/>
                <w:szCs w:val="21"/>
              </w:rPr>
            </w:pPr>
            <w:r w:rsidRPr="00A0019E">
              <w:rPr>
                <w:b/>
                <w:sz w:val="21"/>
                <w:szCs w:val="21"/>
              </w:rPr>
              <w:t>(DOI reviewer)</w:t>
            </w:r>
          </w:p>
          <w:p w14:paraId="39452334" w14:textId="77777777" w:rsidR="00BC3756" w:rsidRPr="00A0019E" w:rsidRDefault="003C6597" w:rsidP="003C6597">
            <w:pPr>
              <w:rPr>
                <w:b/>
                <w:sz w:val="21"/>
                <w:szCs w:val="21"/>
              </w:rPr>
            </w:pPr>
            <w:r w:rsidRPr="00A0019E">
              <w:rPr>
                <w:b/>
                <w:sz w:val="21"/>
                <w:szCs w:val="21"/>
              </w:rPr>
              <w:t>Check as completed</w:t>
            </w:r>
          </w:p>
        </w:tc>
        <w:tc>
          <w:tcPr>
            <w:tcW w:w="2338" w:type="dxa"/>
            <w:shd w:val="clear" w:color="auto" w:fill="E7E6E6" w:themeFill="background2"/>
          </w:tcPr>
          <w:p w14:paraId="2C6453DD" w14:textId="77777777" w:rsidR="00BC3756" w:rsidRPr="005B34DC" w:rsidRDefault="00BC3756" w:rsidP="00781F1E">
            <w:pPr>
              <w:rPr>
                <w:b/>
                <w:bCs/>
                <w:sz w:val="21"/>
                <w:szCs w:val="21"/>
              </w:rPr>
            </w:pPr>
            <w:r w:rsidRPr="005B34DC">
              <w:rPr>
                <w:b/>
                <w:bCs/>
                <w:sz w:val="21"/>
                <w:szCs w:val="21"/>
              </w:rPr>
              <w:t>Review Requirements</w:t>
            </w:r>
          </w:p>
        </w:tc>
        <w:tc>
          <w:tcPr>
            <w:tcW w:w="1387" w:type="dxa"/>
            <w:shd w:val="clear" w:color="auto" w:fill="E7E6E6" w:themeFill="background2"/>
          </w:tcPr>
          <w:p w14:paraId="1FF21430" w14:textId="77777777" w:rsidR="00BC3756" w:rsidRPr="00A0019E" w:rsidRDefault="00BC3756" w:rsidP="00781F1E">
            <w:pPr>
              <w:rPr>
                <w:b/>
                <w:sz w:val="21"/>
                <w:szCs w:val="21"/>
              </w:rPr>
            </w:pPr>
            <w:r w:rsidRPr="00A0019E">
              <w:rPr>
                <w:b/>
                <w:sz w:val="21"/>
                <w:szCs w:val="21"/>
              </w:rPr>
              <w:t>Reference</w:t>
            </w:r>
          </w:p>
        </w:tc>
        <w:tc>
          <w:tcPr>
            <w:tcW w:w="3075" w:type="dxa"/>
            <w:shd w:val="clear" w:color="auto" w:fill="E7E6E6" w:themeFill="background2"/>
          </w:tcPr>
          <w:p w14:paraId="24FD332E" w14:textId="77777777" w:rsidR="00BC3756" w:rsidRPr="00A0019E" w:rsidRDefault="00BC3756" w:rsidP="001270E9">
            <w:pPr>
              <w:rPr>
                <w:b/>
                <w:sz w:val="21"/>
                <w:szCs w:val="21"/>
              </w:rPr>
            </w:pPr>
            <w:r w:rsidRPr="00A0019E">
              <w:rPr>
                <w:b/>
                <w:sz w:val="21"/>
                <w:szCs w:val="21"/>
              </w:rPr>
              <w:t>Description</w:t>
            </w:r>
          </w:p>
        </w:tc>
        <w:tc>
          <w:tcPr>
            <w:tcW w:w="1376" w:type="dxa"/>
            <w:shd w:val="clear" w:color="auto" w:fill="E7E6E6" w:themeFill="background2"/>
          </w:tcPr>
          <w:p w14:paraId="20A138F7" w14:textId="77777777" w:rsidR="00BC3756" w:rsidRPr="00A0019E" w:rsidRDefault="00BC3756" w:rsidP="001142D4">
            <w:pPr>
              <w:rPr>
                <w:b/>
                <w:sz w:val="21"/>
                <w:szCs w:val="21"/>
              </w:rPr>
            </w:pPr>
            <w:r w:rsidRPr="00A0019E">
              <w:rPr>
                <w:b/>
                <w:sz w:val="21"/>
                <w:szCs w:val="21"/>
              </w:rPr>
              <w:t xml:space="preserve">Page </w:t>
            </w:r>
            <w:r w:rsidR="003C6597" w:rsidRPr="00A0019E">
              <w:rPr>
                <w:b/>
                <w:sz w:val="21"/>
                <w:szCs w:val="21"/>
              </w:rPr>
              <w:t xml:space="preserve">number, </w:t>
            </w:r>
            <w:r w:rsidR="001142D4">
              <w:rPr>
                <w:b/>
                <w:sz w:val="21"/>
                <w:szCs w:val="21"/>
              </w:rPr>
              <w:t>name of document where disclosure is made</w:t>
            </w:r>
            <w:r w:rsidRPr="00A0019E">
              <w:rPr>
                <w:b/>
                <w:sz w:val="21"/>
                <w:szCs w:val="21"/>
              </w:rPr>
              <w:t>, or N/A</w:t>
            </w:r>
          </w:p>
        </w:tc>
      </w:tr>
      <w:tr w:rsidR="003C6597" w:rsidRPr="00A0019E" w14:paraId="7D8C7BD1" w14:textId="77777777" w:rsidTr="00796D1D">
        <w:tc>
          <w:tcPr>
            <w:tcW w:w="1174" w:type="dxa"/>
            <w:shd w:val="clear" w:color="auto" w:fill="E7E6E6" w:themeFill="background2"/>
          </w:tcPr>
          <w:p w14:paraId="4BCAC3F3" w14:textId="77777777" w:rsidR="003C6597" w:rsidRPr="00A0019E" w:rsidRDefault="003C6597" w:rsidP="00781F1E">
            <w:pPr>
              <w:rPr>
                <w:b/>
                <w:sz w:val="21"/>
                <w:szCs w:val="21"/>
              </w:rPr>
            </w:pPr>
          </w:p>
        </w:tc>
        <w:tc>
          <w:tcPr>
            <w:tcW w:w="8176" w:type="dxa"/>
            <w:gridSpan w:val="4"/>
            <w:shd w:val="clear" w:color="auto" w:fill="E7E6E6" w:themeFill="background2"/>
          </w:tcPr>
          <w:p w14:paraId="3CCC1D4A" w14:textId="77777777" w:rsidR="003C6597" w:rsidRPr="00D85BAE" w:rsidRDefault="00D85BAE" w:rsidP="00781F1E">
            <w:pPr>
              <w:rPr>
                <w:b/>
                <w:sz w:val="21"/>
                <w:szCs w:val="21"/>
              </w:rPr>
            </w:pPr>
            <w:r w:rsidRPr="00D85BAE">
              <w:rPr>
                <w:b/>
                <w:sz w:val="21"/>
                <w:szCs w:val="21"/>
              </w:rPr>
              <w:t>STATEMENT OF RATE INCREASE WITH EFFECTIVE DATES</w:t>
            </w:r>
          </w:p>
        </w:tc>
      </w:tr>
      <w:tr w:rsidR="00A0019E" w:rsidRPr="00A0019E" w14:paraId="3E14EE60" w14:textId="77777777" w:rsidTr="008A0525">
        <w:tc>
          <w:tcPr>
            <w:tcW w:w="1174" w:type="dxa"/>
          </w:tcPr>
          <w:p w14:paraId="1176FC43" w14:textId="77777777" w:rsidR="00BC3756" w:rsidRPr="00A0019E" w:rsidRDefault="00D85BAE" w:rsidP="001270E9">
            <w:pPr>
              <w:rPr>
                <w:sz w:val="21"/>
                <w:szCs w:val="21"/>
              </w:rPr>
            </w:pPr>
            <w:r w:rsidRPr="00A0019E">
              <w:rPr>
                <w:sz w:val="21"/>
                <w:szCs w:val="21"/>
              </w:rPr>
              <w:sym w:font="Wingdings" w:char="F06F"/>
            </w:r>
          </w:p>
        </w:tc>
        <w:tc>
          <w:tcPr>
            <w:tcW w:w="2338" w:type="dxa"/>
          </w:tcPr>
          <w:p w14:paraId="1CB84938" w14:textId="77777777" w:rsidR="00BC3756" w:rsidRPr="00A0019E" w:rsidRDefault="00D85BAE" w:rsidP="001270E9">
            <w:pPr>
              <w:rPr>
                <w:sz w:val="21"/>
                <w:szCs w:val="21"/>
              </w:rPr>
            </w:pPr>
            <w:r>
              <w:rPr>
                <w:sz w:val="21"/>
                <w:szCs w:val="21"/>
              </w:rPr>
              <w:t xml:space="preserve">60 days’ notice </w:t>
            </w:r>
          </w:p>
        </w:tc>
        <w:tc>
          <w:tcPr>
            <w:tcW w:w="1387" w:type="dxa"/>
          </w:tcPr>
          <w:p w14:paraId="64DDA9A1" w14:textId="6A5AF687" w:rsidR="00BC3756" w:rsidRPr="00A0019E" w:rsidRDefault="00DA5698" w:rsidP="001270E9">
            <w:pPr>
              <w:rPr>
                <w:sz w:val="21"/>
                <w:szCs w:val="21"/>
              </w:rPr>
            </w:pPr>
            <w:r>
              <w:rPr>
                <w:sz w:val="21"/>
                <w:szCs w:val="21"/>
              </w:rPr>
              <w:t>NE Filing Requirement</w:t>
            </w:r>
          </w:p>
        </w:tc>
        <w:tc>
          <w:tcPr>
            <w:tcW w:w="3075" w:type="dxa"/>
          </w:tcPr>
          <w:p w14:paraId="26C17FD9" w14:textId="11D2D141" w:rsidR="00C91E48" w:rsidRPr="00A0019E" w:rsidRDefault="00D85BAE" w:rsidP="001270E9">
            <w:pPr>
              <w:rPr>
                <w:sz w:val="21"/>
                <w:szCs w:val="21"/>
              </w:rPr>
            </w:pPr>
            <w:r>
              <w:rPr>
                <w:sz w:val="21"/>
                <w:szCs w:val="21"/>
              </w:rPr>
              <w:t>Policyholders must be given 60 days’ advance notice, and the Department may require 90 days for large rate increases.</w:t>
            </w:r>
          </w:p>
        </w:tc>
        <w:tc>
          <w:tcPr>
            <w:tcW w:w="1376" w:type="dxa"/>
          </w:tcPr>
          <w:p w14:paraId="6852730F" w14:textId="77777777" w:rsidR="00BC3756" w:rsidRPr="00A0019E" w:rsidRDefault="00BC3756" w:rsidP="001270E9">
            <w:pPr>
              <w:rPr>
                <w:sz w:val="21"/>
                <w:szCs w:val="21"/>
              </w:rPr>
            </w:pPr>
          </w:p>
        </w:tc>
      </w:tr>
      <w:tr w:rsidR="005205B1" w:rsidRPr="00A0019E" w14:paraId="6F515397" w14:textId="77777777" w:rsidTr="008A0525">
        <w:tc>
          <w:tcPr>
            <w:tcW w:w="1174" w:type="dxa"/>
          </w:tcPr>
          <w:p w14:paraId="683F4A93" w14:textId="7E69A603" w:rsidR="005205B1" w:rsidRPr="00A0019E" w:rsidRDefault="00BA3179" w:rsidP="001270E9">
            <w:pPr>
              <w:rPr>
                <w:sz w:val="21"/>
                <w:szCs w:val="21"/>
              </w:rPr>
            </w:pPr>
            <w:r w:rsidRPr="00A0019E">
              <w:rPr>
                <w:sz w:val="21"/>
                <w:szCs w:val="21"/>
              </w:rPr>
              <w:lastRenderedPageBreak/>
              <w:sym w:font="Wingdings" w:char="F06F"/>
            </w:r>
          </w:p>
        </w:tc>
        <w:tc>
          <w:tcPr>
            <w:tcW w:w="2338" w:type="dxa"/>
          </w:tcPr>
          <w:p w14:paraId="5F1CE6AE" w14:textId="33FCE491" w:rsidR="005205B1" w:rsidRDefault="005205B1" w:rsidP="001270E9">
            <w:pPr>
              <w:rPr>
                <w:sz w:val="21"/>
                <w:szCs w:val="21"/>
              </w:rPr>
            </w:pPr>
            <w:r>
              <w:rPr>
                <w:sz w:val="21"/>
                <w:szCs w:val="21"/>
              </w:rPr>
              <w:t>First communication mentioning rate increase</w:t>
            </w:r>
          </w:p>
        </w:tc>
        <w:tc>
          <w:tcPr>
            <w:tcW w:w="1387" w:type="dxa"/>
          </w:tcPr>
          <w:p w14:paraId="72CA9605" w14:textId="4FF70565" w:rsidR="005205B1" w:rsidRDefault="005205B1" w:rsidP="001270E9">
            <w:pPr>
              <w:rPr>
                <w:sz w:val="21"/>
                <w:szCs w:val="21"/>
              </w:rPr>
            </w:pPr>
            <w:r>
              <w:rPr>
                <w:sz w:val="21"/>
                <w:szCs w:val="21"/>
              </w:rPr>
              <w:t>NE Filing Requirement</w:t>
            </w:r>
          </w:p>
        </w:tc>
        <w:tc>
          <w:tcPr>
            <w:tcW w:w="3075" w:type="dxa"/>
          </w:tcPr>
          <w:p w14:paraId="60EA44D6" w14:textId="19B61C4F" w:rsidR="005205B1" w:rsidRDefault="005205B1" w:rsidP="001270E9">
            <w:pPr>
              <w:rPr>
                <w:sz w:val="21"/>
                <w:szCs w:val="21"/>
              </w:rPr>
            </w:pPr>
            <w:r>
              <w:rPr>
                <w:sz w:val="21"/>
                <w:szCs w:val="21"/>
              </w:rPr>
              <w:t>First mention of rate increase to policyholders must be the letter approved by the DOI.</w:t>
            </w:r>
          </w:p>
        </w:tc>
        <w:tc>
          <w:tcPr>
            <w:tcW w:w="1376" w:type="dxa"/>
          </w:tcPr>
          <w:p w14:paraId="165FABDF" w14:textId="77777777" w:rsidR="005205B1" w:rsidRPr="00A0019E" w:rsidRDefault="005205B1" w:rsidP="001270E9">
            <w:pPr>
              <w:rPr>
                <w:sz w:val="21"/>
                <w:szCs w:val="21"/>
              </w:rPr>
            </w:pPr>
          </w:p>
        </w:tc>
      </w:tr>
      <w:tr w:rsidR="005205B1" w:rsidRPr="00A0019E" w14:paraId="40096E90" w14:textId="77777777" w:rsidTr="008A0525">
        <w:tc>
          <w:tcPr>
            <w:tcW w:w="1174" w:type="dxa"/>
          </w:tcPr>
          <w:p w14:paraId="7632DE62" w14:textId="3612CEB5" w:rsidR="005205B1" w:rsidRPr="00A0019E" w:rsidRDefault="00BA3179" w:rsidP="001270E9">
            <w:pPr>
              <w:rPr>
                <w:sz w:val="21"/>
                <w:szCs w:val="21"/>
              </w:rPr>
            </w:pPr>
            <w:r w:rsidRPr="00A0019E">
              <w:rPr>
                <w:sz w:val="21"/>
                <w:szCs w:val="21"/>
              </w:rPr>
              <w:sym w:font="Wingdings" w:char="F06F"/>
            </w:r>
          </w:p>
        </w:tc>
        <w:tc>
          <w:tcPr>
            <w:tcW w:w="2338" w:type="dxa"/>
          </w:tcPr>
          <w:p w14:paraId="188A52E2" w14:textId="3B25B8CD" w:rsidR="005205B1" w:rsidRDefault="005205B1" w:rsidP="001270E9">
            <w:pPr>
              <w:rPr>
                <w:sz w:val="21"/>
                <w:szCs w:val="21"/>
              </w:rPr>
            </w:pPr>
            <w:r>
              <w:rPr>
                <w:sz w:val="21"/>
                <w:szCs w:val="21"/>
              </w:rPr>
              <w:t>Bills that do not match the renewal/anniversary</w:t>
            </w:r>
          </w:p>
        </w:tc>
        <w:tc>
          <w:tcPr>
            <w:tcW w:w="1387" w:type="dxa"/>
          </w:tcPr>
          <w:p w14:paraId="0D9A768E" w14:textId="5620CA42" w:rsidR="005205B1" w:rsidRDefault="005205B1" w:rsidP="001270E9">
            <w:pPr>
              <w:rPr>
                <w:sz w:val="21"/>
                <w:szCs w:val="21"/>
              </w:rPr>
            </w:pPr>
            <w:r>
              <w:rPr>
                <w:sz w:val="21"/>
                <w:szCs w:val="21"/>
              </w:rPr>
              <w:t>NE Filing Requirement</w:t>
            </w:r>
          </w:p>
        </w:tc>
        <w:tc>
          <w:tcPr>
            <w:tcW w:w="3075" w:type="dxa"/>
          </w:tcPr>
          <w:p w14:paraId="79C2DFE0" w14:textId="7B23ADF5" w:rsidR="005205B1" w:rsidRDefault="005205B1" w:rsidP="001270E9">
            <w:pPr>
              <w:rPr>
                <w:sz w:val="21"/>
                <w:szCs w:val="21"/>
              </w:rPr>
            </w:pPr>
            <w:r>
              <w:rPr>
                <w:sz w:val="21"/>
                <w:szCs w:val="21"/>
              </w:rPr>
              <w:t>The company cannot send a bill with prorated increase for part of the year without first presenting the rate increase through the approved policyholder letter</w:t>
            </w:r>
          </w:p>
        </w:tc>
        <w:tc>
          <w:tcPr>
            <w:tcW w:w="1376" w:type="dxa"/>
          </w:tcPr>
          <w:p w14:paraId="4413A0B7" w14:textId="77777777" w:rsidR="005205B1" w:rsidRPr="00A0019E" w:rsidRDefault="005205B1" w:rsidP="001270E9">
            <w:pPr>
              <w:rPr>
                <w:sz w:val="21"/>
                <w:szCs w:val="21"/>
              </w:rPr>
            </w:pPr>
          </w:p>
        </w:tc>
      </w:tr>
      <w:tr w:rsidR="003A28D7" w:rsidRPr="00A0019E" w14:paraId="0199D8D1" w14:textId="77777777" w:rsidTr="008A0525">
        <w:tc>
          <w:tcPr>
            <w:tcW w:w="1174" w:type="dxa"/>
          </w:tcPr>
          <w:p w14:paraId="543BD40A" w14:textId="6D32960C" w:rsidR="003A28D7" w:rsidRPr="00A0019E" w:rsidRDefault="003A28D7" w:rsidP="001270E9">
            <w:pPr>
              <w:rPr>
                <w:sz w:val="21"/>
                <w:szCs w:val="21"/>
              </w:rPr>
            </w:pPr>
            <w:r w:rsidRPr="00A0019E">
              <w:rPr>
                <w:sz w:val="21"/>
                <w:szCs w:val="21"/>
              </w:rPr>
              <w:sym w:font="Wingdings" w:char="F06F"/>
            </w:r>
          </w:p>
        </w:tc>
        <w:tc>
          <w:tcPr>
            <w:tcW w:w="2338" w:type="dxa"/>
          </w:tcPr>
          <w:p w14:paraId="164273E1" w14:textId="46DC929C" w:rsidR="003A28D7" w:rsidRDefault="003A28D7" w:rsidP="00A71757">
            <w:pPr>
              <w:rPr>
                <w:sz w:val="21"/>
                <w:szCs w:val="21"/>
              </w:rPr>
            </w:pPr>
            <w:r>
              <w:rPr>
                <w:sz w:val="21"/>
                <w:szCs w:val="21"/>
              </w:rPr>
              <w:t xml:space="preserve">Dates for letters </w:t>
            </w:r>
          </w:p>
        </w:tc>
        <w:tc>
          <w:tcPr>
            <w:tcW w:w="1387" w:type="dxa"/>
          </w:tcPr>
          <w:p w14:paraId="0E6435F7" w14:textId="2F1F3998" w:rsidR="003A28D7" w:rsidRDefault="003A28D7" w:rsidP="001270E9">
            <w:pPr>
              <w:rPr>
                <w:sz w:val="21"/>
                <w:szCs w:val="21"/>
              </w:rPr>
            </w:pPr>
            <w:r>
              <w:rPr>
                <w:sz w:val="21"/>
                <w:szCs w:val="21"/>
              </w:rPr>
              <w:t>NE Filing Requirement</w:t>
            </w:r>
          </w:p>
        </w:tc>
        <w:tc>
          <w:tcPr>
            <w:tcW w:w="3075" w:type="dxa"/>
          </w:tcPr>
          <w:p w14:paraId="3576F330" w14:textId="0CF89ABD" w:rsidR="003A28D7" w:rsidRDefault="003A28D7" w:rsidP="001270E9">
            <w:pPr>
              <w:rPr>
                <w:sz w:val="21"/>
                <w:szCs w:val="21"/>
              </w:rPr>
            </w:pPr>
            <w:r>
              <w:rPr>
                <w:sz w:val="21"/>
                <w:szCs w:val="21"/>
              </w:rPr>
              <w:t>In the column to the right, please provide the approximate date that letters will start being sent.</w:t>
            </w:r>
          </w:p>
        </w:tc>
        <w:tc>
          <w:tcPr>
            <w:tcW w:w="1376" w:type="dxa"/>
          </w:tcPr>
          <w:p w14:paraId="2F5C4398" w14:textId="77777777" w:rsidR="003A28D7" w:rsidRPr="00A0019E" w:rsidRDefault="003A28D7" w:rsidP="001270E9">
            <w:pPr>
              <w:rPr>
                <w:sz w:val="21"/>
                <w:szCs w:val="21"/>
              </w:rPr>
            </w:pPr>
          </w:p>
        </w:tc>
      </w:tr>
      <w:tr w:rsidR="00A71757" w:rsidRPr="00A0019E" w14:paraId="6E43FE29" w14:textId="77777777" w:rsidTr="008A0525">
        <w:tc>
          <w:tcPr>
            <w:tcW w:w="1174" w:type="dxa"/>
          </w:tcPr>
          <w:p w14:paraId="156E5F3E" w14:textId="09C867D8" w:rsidR="00A71757" w:rsidRPr="00A0019E" w:rsidRDefault="00A71757" w:rsidP="001270E9">
            <w:pPr>
              <w:rPr>
                <w:sz w:val="21"/>
                <w:szCs w:val="21"/>
              </w:rPr>
            </w:pPr>
            <w:r w:rsidRPr="00A0019E">
              <w:rPr>
                <w:sz w:val="21"/>
                <w:szCs w:val="21"/>
              </w:rPr>
              <w:sym w:font="Wingdings" w:char="F06F"/>
            </w:r>
          </w:p>
        </w:tc>
        <w:tc>
          <w:tcPr>
            <w:tcW w:w="2338" w:type="dxa"/>
          </w:tcPr>
          <w:p w14:paraId="4648942E" w14:textId="154BFAA5" w:rsidR="00A71757" w:rsidRDefault="00A71757" w:rsidP="001270E9">
            <w:pPr>
              <w:rPr>
                <w:sz w:val="21"/>
                <w:szCs w:val="21"/>
              </w:rPr>
            </w:pPr>
            <w:r>
              <w:rPr>
                <w:sz w:val="21"/>
                <w:szCs w:val="21"/>
              </w:rPr>
              <w:t>Increase effective dates</w:t>
            </w:r>
          </w:p>
        </w:tc>
        <w:tc>
          <w:tcPr>
            <w:tcW w:w="1387" w:type="dxa"/>
          </w:tcPr>
          <w:p w14:paraId="69698D90" w14:textId="4D20EDF0" w:rsidR="00A71757" w:rsidRDefault="00A71757" w:rsidP="001270E9">
            <w:pPr>
              <w:rPr>
                <w:sz w:val="21"/>
                <w:szCs w:val="21"/>
              </w:rPr>
            </w:pPr>
            <w:r>
              <w:rPr>
                <w:sz w:val="21"/>
                <w:szCs w:val="21"/>
              </w:rPr>
              <w:t>NE Filing Requirement</w:t>
            </w:r>
          </w:p>
        </w:tc>
        <w:tc>
          <w:tcPr>
            <w:tcW w:w="3075" w:type="dxa"/>
          </w:tcPr>
          <w:p w14:paraId="1168B9E3" w14:textId="5C16A759" w:rsidR="00A71757" w:rsidRDefault="00A71757" w:rsidP="001270E9">
            <w:pPr>
              <w:rPr>
                <w:sz w:val="21"/>
                <w:szCs w:val="21"/>
              </w:rPr>
            </w:pPr>
            <w:r>
              <w:rPr>
                <w:sz w:val="21"/>
                <w:szCs w:val="21"/>
              </w:rPr>
              <w:t>In the column to the right, please state the renewal dates that qualify as “year 1” of the increase.  If the increase is phased in over multiple years, provide renewal dates that will be considered year 2 and any subsequent years.</w:t>
            </w:r>
          </w:p>
        </w:tc>
        <w:tc>
          <w:tcPr>
            <w:tcW w:w="1376" w:type="dxa"/>
          </w:tcPr>
          <w:p w14:paraId="79AFF481" w14:textId="77777777" w:rsidR="00A71757" w:rsidRPr="00A0019E" w:rsidRDefault="00A71757" w:rsidP="001270E9">
            <w:pPr>
              <w:rPr>
                <w:sz w:val="21"/>
                <w:szCs w:val="21"/>
              </w:rPr>
            </w:pPr>
          </w:p>
        </w:tc>
      </w:tr>
      <w:tr w:rsidR="003A28D7" w:rsidRPr="00A0019E" w14:paraId="0C7B587B" w14:textId="77777777" w:rsidTr="008A0525">
        <w:tc>
          <w:tcPr>
            <w:tcW w:w="1174" w:type="dxa"/>
          </w:tcPr>
          <w:p w14:paraId="41E5F559" w14:textId="21C1ED11" w:rsidR="003A28D7" w:rsidRPr="00A0019E" w:rsidRDefault="003A28D7" w:rsidP="001270E9">
            <w:pPr>
              <w:rPr>
                <w:sz w:val="21"/>
                <w:szCs w:val="21"/>
              </w:rPr>
            </w:pPr>
            <w:r w:rsidRPr="00A0019E">
              <w:rPr>
                <w:sz w:val="21"/>
                <w:szCs w:val="21"/>
              </w:rPr>
              <w:sym w:font="Wingdings" w:char="F06F"/>
            </w:r>
          </w:p>
        </w:tc>
        <w:tc>
          <w:tcPr>
            <w:tcW w:w="2338" w:type="dxa"/>
          </w:tcPr>
          <w:p w14:paraId="2E0232F9" w14:textId="6886451D" w:rsidR="003A28D7" w:rsidRDefault="00A71757" w:rsidP="001270E9">
            <w:pPr>
              <w:rPr>
                <w:sz w:val="21"/>
                <w:szCs w:val="21"/>
              </w:rPr>
            </w:pPr>
            <w:r>
              <w:rPr>
                <w:sz w:val="21"/>
                <w:szCs w:val="21"/>
              </w:rPr>
              <w:t>Letters on a rolling basis</w:t>
            </w:r>
          </w:p>
        </w:tc>
        <w:tc>
          <w:tcPr>
            <w:tcW w:w="1387" w:type="dxa"/>
          </w:tcPr>
          <w:p w14:paraId="256A338E" w14:textId="6CABD309" w:rsidR="003A28D7" w:rsidRDefault="00A71757" w:rsidP="001270E9">
            <w:pPr>
              <w:rPr>
                <w:sz w:val="21"/>
                <w:szCs w:val="21"/>
              </w:rPr>
            </w:pPr>
            <w:r>
              <w:rPr>
                <w:sz w:val="21"/>
                <w:szCs w:val="21"/>
              </w:rPr>
              <w:t>NE Filing Requirement</w:t>
            </w:r>
          </w:p>
        </w:tc>
        <w:tc>
          <w:tcPr>
            <w:tcW w:w="3075" w:type="dxa"/>
          </w:tcPr>
          <w:p w14:paraId="764891CB" w14:textId="012FCDE0" w:rsidR="003A28D7" w:rsidRDefault="00A71757" w:rsidP="001270E9">
            <w:pPr>
              <w:rPr>
                <w:sz w:val="21"/>
                <w:szCs w:val="21"/>
              </w:rPr>
            </w:pPr>
            <w:r>
              <w:rPr>
                <w:sz w:val="21"/>
                <w:szCs w:val="21"/>
              </w:rPr>
              <w:t>Confirm letters will be sent on a rolling basis, timed to match individual renewal dates.</w:t>
            </w:r>
          </w:p>
        </w:tc>
        <w:tc>
          <w:tcPr>
            <w:tcW w:w="1376" w:type="dxa"/>
          </w:tcPr>
          <w:p w14:paraId="590E1653" w14:textId="77777777" w:rsidR="003A28D7" w:rsidRPr="00A0019E" w:rsidRDefault="003A28D7" w:rsidP="001270E9">
            <w:pPr>
              <w:rPr>
                <w:sz w:val="21"/>
                <w:szCs w:val="21"/>
              </w:rPr>
            </w:pPr>
          </w:p>
        </w:tc>
      </w:tr>
      <w:tr w:rsidR="00A0019E" w:rsidRPr="00A0019E" w14:paraId="13C82C83" w14:textId="77777777" w:rsidTr="008A0525">
        <w:tc>
          <w:tcPr>
            <w:tcW w:w="1174" w:type="dxa"/>
          </w:tcPr>
          <w:p w14:paraId="4409B03E" w14:textId="77777777" w:rsidR="00BC3756" w:rsidRPr="00A0019E" w:rsidRDefault="00D85BAE" w:rsidP="001270E9">
            <w:pPr>
              <w:rPr>
                <w:sz w:val="21"/>
                <w:szCs w:val="21"/>
              </w:rPr>
            </w:pPr>
            <w:r w:rsidRPr="00A0019E">
              <w:rPr>
                <w:sz w:val="21"/>
                <w:szCs w:val="21"/>
              </w:rPr>
              <w:sym w:font="Wingdings" w:char="F06F"/>
            </w:r>
          </w:p>
        </w:tc>
        <w:tc>
          <w:tcPr>
            <w:tcW w:w="2338" w:type="dxa"/>
          </w:tcPr>
          <w:p w14:paraId="42BB0C6C" w14:textId="77777777" w:rsidR="00BC3756" w:rsidRPr="00A0019E" w:rsidRDefault="00D85BAE" w:rsidP="001270E9">
            <w:pPr>
              <w:rPr>
                <w:sz w:val="21"/>
                <w:szCs w:val="21"/>
              </w:rPr>
            </w:pPr>
            <w:r>
              <w:rPr>
                <w:sz w:val="21"/>
                <w:szCs w:val="21"/>
              </w:rPr>
              <w:t>Increase clearly explained in dollars</w:t>
            </w:r>
          </w:p>
        </w:tc>
        <w:tc>
          <w:tcPr>
            <w:tcW w:w="1387" w:type="dxa"/>
          </w:tcPr>
          <w:p w14:paraId="1CD8532B" w14:textId="4B73B1EA" w:rsidR="00BC3756" w:rsidRPr="00A0019E" w:rsidRDefault="00DA5698" w:rsidP="001270E9">
            <w:pPr>
              <w:rPr>
                <w:sz w:val="21"/>
                <w:szCs w:val="21"/>
              </w:rPr>
            </w:pPr>
            <w:r>
              <w:rPr>
                <w:sz w:val="21"/>
                <w:szCs w:val="21"/>
              </w:rPr>
              <w:t>NE Filing Requirement</w:t>
            </w:r>
          </w:p>
        </w:tc>
        <w:tc>
          <w:tcPr>
            <w:tcW w:w="3075" w:type="dxa"/>
          </w:tcPr>
          <w:p w14:paraId="31FB5A7C" w14:textId="77777777" w:rsidR="00BC3756" w:rsidRPr="00A0019E" w:rsidRDefault="00D85BAE" w:rsidP="001270E9">
            <w:pPr>
              <w:rPr>
                <w:rFonts w:cstheme="minorHAnsi"/>
                <w:sz w:val="21"/>
                <w:szCs w:val="21"/>
              </w:rPr>
            </w:pPr>
            <w:r>
              <w:rPr>
                <w:rFonts w:cstheme="minorHAnsi"/>
                <w:sz w:val="21"/>
                <w:szCs w:val="21"/>
              </w:rPr>
              <w:t xml:space="preserve">Current premium, increased premium, single </w:t>
            </w:r>
            <w:proofErr w:type="gramStart"/>
            <w:r>
              <w:rPr>
                <w:rFonts w:cstheme="minorHAnsi"/>
                <w:sz w:val="21"/>
                <w:szCs w:val="21"/>
              </w:rPr>
              <w:t>increase</w:t>
            </w:r>
            <w:proofErr w:type="gramEnd"/>
            <w:r>
              <w:rPr>
                <w:rFonts w:cstheme="minorHAnsi"/>
                <w:sz w:val="21"/>
                <w:szCs w:val="21"/>
              </w:rPr>
              <w:t xml:space="preserve"> or phased-in series of increases; all with effective dates.</w:t>
            </w:r>
          </w:p>
        </w:tc>
        <w:tc>
          <w:tcPr>
            <w:tcW w:w="1376" w:type="dxa"/>
          </w:tcPr>
          <w:p w14:paraId="12CB13ED" w14:textId="77777777" w:rsidR="00BC3756" w:rsidRPr="00A0019E" w:rsidRDefault="00BC3756" w:rsidP="001270E9">
            <w:pPr>
              <w:rPr>
                <w:sz w:val="21"/>
                <w:szCs w:val="21"/>
              </w:rPr>
            </w:pPr>
          </w:p>
        </w:tc>
      </w:tr>
      <w:tr w:rsidR="008A1E1C" w:rsidRPr="00A0019E" w14:paraId="0EBD5AAE" w14:textId="77777777" w:rsidTr="008A0525">
        <w:tc>
          <w:tcPr>
            <w:tcW w:w="1174" w:type="dxa"/>
          </w:tcPr>
          <w:p w14:paraId="01606706" w14:textId="0A90B4EC" w:rsidR="008A1E1C" w:rsidRPr="00A0019E" w:rsidRDefault="00BA3179" w:rsidP="001270E9">
            <w:pPr>
              <w:rPr>
                <w:sz w:val="21"/>
                <w:szCs w:val="21"/>
              </w:rPr>
            </w:pPr>
            <w:r w:rsidRPr="00A0019E">
              <w:rPr>
                <w:sz w:val="21"/>
                <w:szCs w:val="21"/>
              </w:rPr>
              <w:sym w:font="Wingdings" w:char="F06F"/>
            </w:r>
          </w:p>
        </w:tc>
        <w:tc>
          <w:tcPr>
            <w:tcW w:w="2338" w:type="dxa"/>
          </w:tcPr>
          <w:p w14:paraId="6A5D04F4" w14:textId="77777777" w:rsidR="008A1E1C" w:rsidRDefault="008A1E1C" w:rsidP="001270E9">
            <w:pPr>
              <w:rPr>
                <w:sz w:val="21"/>
                <w:szCs w:val="21"/>
              </w:rPr>
            </w:pPr>
            <w:r>
              <w:rPr>
                <w:sz w:val="21"/>
                <w:szCs w:val="21"/>
              </w:rPr>
              <w:t>Increase occurs on policy anniversary date</w:t>
            </w:r>
          </w:p>
        </w:tc>
        <w:tc>
          <w:tcPr>
            <w:tcW w:w="1387" w:type="dxa"/>
          </w:tcPr>
          <w:p w14:paraId="0D93F231" w14:textId="0FED008C" w:rsidR="008A1E1C" w:rsidRPr="00A0019E" w:rsidRDefault="00DA5698" w:rsidP="001270E9">
            <w:pPr>
              <w:rPr>
                <w:sz w:val="21"/>
                <w:szCs w:val="21"/>
              </w:rPr>
            </w:pPr>
            <w:r>
              <w:rPr>
                <w:sz w:val="21"/>
                <w:szCs w:val="21"/>
              </w:rPr>
              <w:t>NE Filing Requirement</w:t>
            </w:r>
          </w:p>
        </w:tc>
        <w:tc>
          <w:tcPr>
            <w:tcW w:w="3075" w:type="dxa"/>
          </w:tcPr>
          <w:p w14:paraId="7FBEEFCE" w14:textId="525A24D0" w:rsidR="008A1E1C" w:rsidRDefault="008A1E1C" w:rsidP="001270E9">
            <w:pPr>
              <w:rPr>
                <w:rFonts w:cstheme="minorHAnsi"/>
                <w:sz w:val="21"/>
                <w:szCs w:val="21"/>
              </w:rPr>
            </w:pPr>
            <w:r>
              <w:rPr>
                <w:rFonts w:cstheme="minorHAnsi"/>
                <w:sz w:val="21"/>
                <w:szCs w:val="21"/>
              </w:rPr>
              <w:t>Increases cannot be imposed in the middle of a policy term.</w:t>
            </w:r>
            <w:r w:rsidR="005C7183">
              <w:rPr>
                <w:rFonts w:cstheme="minorHAnsi"/>
                <w:sz w:val="21"/>
                <w:szCs w:val="21"/>
              </w:rPr>
              <w:t xml:space="preserve"> Increases at the “next premium due date” are not allowed.</w:t>
            </w:r>
            <w:r w:rsidR="0043342D">
              <w:rPr>
                <w:rFonts w:cstheme="minorHAnsi"/>
                <w:sz w:val="21"/>
                <w:szCs w:val="21"/>
              </w:rPr>
              <w:t xml:space="preserve"> If not paying annual premium increase </w:t>
            </w:r>
            <w:proofErr w:type="spellStart"/>
            <w:r w:rsidR="0043342D">
              <w:rPr>
                <w:rFonts w:cstheme="minorHAnsi"/>
                <w:sz w:val="21"/>
                <w:szCs w:val="21"/>
              </w:rPr>
              <w:t>can not</w:t>
            </w:r>
            <w:proofErr w:type="spellEnd"/>
            <w:r w:rsidR="0043342D">
              <w:rPr>
                <w:rFonts w:cstheme="minorHAnsi"/>
                <w:sz w:val="21"/>
                <w:szCs w:val="21"/>
              </w:rPr>
              <w:t xml:space="preserve"> be effective until anniversary date or renewal premium date. </w:t>
            </w:r>
          </w:p>
        </w:tc>
        <w:tc>
          <w:tcPr>
            <w:tcW w:w="1376" w:type="dxa"/>
          </w:tcPr>
          <w:p w14:paraId="5B029FE7" w14:textId="77777777" w:rsidR="008A1E1C" w:rsidRPr="00A0019E" w:rsidRDefault="008A1E1C" w:rsidP="001270E9">
            <w:pPr>
              <w:rPr>
                <w:sz w:val="21"/>
                <w:szCs w:val="21"/>
              </w:rPr>
            </w:pPr>
          </w:p>
        </w:tc>
      </w:tr>
      <w:tr w:rsidR="00155A53" w:rsidRPr="00A0019E" w14:paraId="5A2782F9" w14:textId="77777777" w:rsidTr="008A0525">
        <w:tc>
          <w:tcPr>
            <w:tcW w:w="1174" w:type="dxa"/>
          </w:tcPr>
          <w:p w14:paraId="2AFF6556" w14:textId="6C7979EE" w:rsidR="00155A53" w:rsidRPr="00A0019E" w:rsidRDefault="00BA3179" w:rsidP="000A4A79">
            <w:pPr>
              <w:rPr>
                <w:sz w:val="21"/>
                <w:szCs w:val="21"/>
              </w:rPr>
            </w:pPr>
            <w:r w:rsidRPr="00A0019E">
              <w:rPr>
                <w:sz w:val="21"/>
                <w:szCs w:val="21"/>
              </w:rPr>
              <w:sym w:font="Wingdings" w:char="F06F"/>
            </w:r>
          </w:p>
        </w:tc>
        <w:tc>
          <w:tcPr>
            <w:tcW w:w="2338" w:type="dxa"/>
          </w:tcPr>
          <w:p w14:paraId="22DF4B9E" w14:textId="52407604" w:rsidR="00155A53" w:rsidRDefault="00155A53" w:rsidP="006D10A1">
            <w:pPr>
              <w:rPr>
                <w:sz w:val="21"/>
                <w:szCs w:val="21"/>
              </w:rPr>
            </w:pPr>
            <w:r>
              <w:rPr>
                <w:sz w:val="21"/>
                <w:szCs w:val="21"/>
              </w:rPr>
              <w:t>Description of increase and purpose of letter paragraph</w:t>
            </w:r>
          </w:p>
        </w:tc>
        <w:tc>
          <w:tcPr>
            <w:tcW w:w="1387" w:type="dxa"/>
          </w:tcPr>
          <w:p w14:paraId="6B64A8CA" w14:textId="7A0D82F4" w:rsidR="00155A53" w:rsidRDefault="00155A53" w:rsidP="00C104DE">
            <w:pPr>
              <w:rPr>
                <w:sz w:val="21"/>
                <w:szCs w:val="21"/>
              </w:rPr>
            </w:pPr>
            <w:r>
              <w:rPr>
                <w:sz w:val="21"/>
                <w:szCs w:val="21"/>
              </w:rPr>
              <w:t>NE Filing Requirement</w:t>
            </w:r>
          </w:p>
        </w:tc>
        <w:tc>
          <w:tcPr>
            <w:tcW w:w="3075" w:type="dxa"/>
          </w:tcPr>
          <w:p w14:paraId="0E989774" w14:textId="77777777" w:rsidR="00155A53" w:rsidRDefault="00155A53" w:rsidP="00C839BE">
            <w:pPr>
              <w:rPr>
                <w:sz w:val="21"/>
                <w:szCs w:val="21"/>
              </w:rPr>
            </w:pPr>
            <w:r>
              <w:rPr>
                <w:sz w:val="21"/>
                <w:szCs w:val="21"/>
              </w:rPr>
              <w:t>Elements to include:</w:t>
            </w:r>
          </w:p>
          <w:p w14:paraId="01198205" w14:textId="77777777" w:rsidR="00155A53" w:rsidRDefault="00155A53" w:rsidP="00C839BE">
            <w:pPr>
              <w:rPr>
                <w:sz w:val="21"/>
                <w:szCs w:val="21"/>
              </w:rPr>
            </w:pPr>
            <w:r>
              <w:rPr>
                <w:sz w:val="21"/>
                <w:szCs w:val="21"/>
              </w:rPr>
              <w:t>Insurer requested this rate increase based on higher number of claims and/or dollar amounts of claims than projected when the rates were initially set.</w:t>
            </w:r>
          </w:p>
          <w:p w14:paraId="2A682F83" w14:textId="77777777" w:rsidR="00155A53" w:rsidRDefault="00155A53" w:rsidP="00C839BE">
            <w:pPr>
              <w:rPr>
                <w:sz w:val="21"/>
                <w:szCs w:val="21"/>
              </w:rPr>
            </w:pPr>
            <w:r>
              <w:rPr>
                <w:sz w:val="21"/>
                <w:szCs w:val="21"/>
              </w:rPr>
              <w:t>DOI actuaries approved the increase as justified based on increased claims.</w:t>
            </w:r>
          </w:p>
          <w:p w14:paraId="67F7947A" w14:textId="77777777" w:rsidR="00155A53" w:rsidRDefault="00155A53" w:rsidP="00C839BE">
            <w:pPr>
              <w:rPr>
                <w:sz w:val="21"/>
                <w:szCs w:val="21"/>
              </w:rPr>
            </w:pPr>
            <w:r>
              <w:rPr>
                <w:sz w:val="21"/>
                <w:szCs w:val="21"/>
              </w:rPr>
              <w:t>Increase applies to all similarly situated PH, not just recipient of this letter.</w:t>
            </w:r>
          </w:p>
          <w:p w14:paraId="20CA0DAE" w14:textId="77777777" w:rsidR="00155A53" w:rsidRDefault="00155A53" w:rsidP="00C839BE">
            <w:pPr>
              <w:rPr>
                <w:sz w:val="21"/>
                <w:szCs w:val="21"/>
              </w:rPr>
            </w:pPr>
            <w:r>
              <w:rPr>
                <w:sz w:val="21"/>
                <w:szCs w:val="21"/>
              </w:rPr>
              <w:t>Policy gives the right to increase rates this way.</w:t>
            </w:r>
          </w:p>
          <w:p w14:paraId="0FAC36A9" w14:textId="54E121B1" w:rsidR="00155A53" w:rsidRDefault="00155A53" w:rsidP="00C839BE">
            <w:pPr>
              <w:rPr>
                <w:sz w:val="21"/>
                <w:szCs w:val="21"/>
              </w:rPr>
            </w:pPr>
            <w:r>
              <w:rPr>
                <w:sz w:val="21"/>
                <w:szCs w:val="21"/>
              </w:rPr>
              <w:lastRenderedPageBreak/>
              <w:t>Rates may increase in the future, but only if the claims are more costly than current projected claims.</w:t>
            </w:r>
          </w:p>
        </w:tc>
        <w:tc>
          <w:tcPr>
            <w:tcW w:w="1376" w:type="dxa"/>
          </w:tcPr>
          <w:p w14:paraId="5CB9ACD0" w14:textId="77777777" w:rsidR="00155A53" w:rsidRPr="00A0019E" w:rsidRDefault="00155A53" w:rsidP="00C104DE">
            <w:pPr>
              <w:rPr>
                <w:sz w:val="21"/>
                <w:szCs w:val="21"/>
              </w:rPr>
            </w:pPr>
          </w:p>
        </w:tc>
      </w:tr>
      <w:tr w:rsidR="00A0019E" w:rsidRPr="00A0019E" w14:paraId="4B6006DC" w14:textId="77777777" w:rsidTr="008A0525">
        <w:tc>
          <w:tcPr>
            <w:tcW w:w="1174" w:type="dxa"/>
          </w:tcPr>
          <w:p w14:paraId="114C7F0F" w14:textId="77777777" w:rsidR="00BC3756" w:rsidRPr="00A0019E" w:rsidRDefault="00D85BAE" w:rsidP="000A4A79">
            <w:pPr>
              <w:rPr>
                <w:sz w:val="21"/>
                <w:szCs w:val="21"/>
              </w:rPr>
            </w:pPr>
            <w:r w:rsidRPr="00A0019E">
              <w:rPr>
                <w:sz w:val="21"/>
                <w:szCs w:val="21"/>
              </w:rPr>
              <w:sym w:font="Wingdings" w:char="F06F"/>
            </w:r>
          </w:p>
        </w:tc>
        <w:tc>
          <w:tcPr>
            <w:tcW w:w="2338" w:type="dxa"/>
          </w:tcPr>
          <w:p w14:paraId="3EB31E9E" w14:textId="77777777" w:rsidR="00BC3756" w:rsidRPr="00A0019E" w:rsidRDefault="00D85BAE" w:rsidP="006D10A1">
            <w:pPr>
              <w:rPr>
                <w:sz w:val="21"/>
                <w:szCs w:val="21"/>
              </w:rPr>
            </w:pPr>
            <w:r>
              <w:rPr>
                <w:sz w:val="21"/>
                <w:szCs w:val="21"/>
              </w:rPr>
              <w:t>Reasons for increase cannot imply Department request</w:t>
            </w:r>
          </w:p>
        </w:tc>
        <w:tc>
          <w:tcPr>
            <w:tcW w:w="1387" w:type="dxa"/>
          </w:tcPr>
          <w:p w14:paraId="78AA67C4" w14:textId="507C9A46" w:rsidR="00BC3756" w:rsidRPr="00A0019E" w:rsidRDefault="00DA5698" w:rsidP="00C104DE">
            <w:pPr>
              <w:rPr>
                <w:sz w:val="21"/>
                <w:szCs w:val="21"/>
              </w:rPr>
            </w:pPr>
            <w:r>
              <w:rPr>
                <w:sz w:val="21"/>
                <w:szCs w:val="21"/>
              </w:rPr>
              <w:t>NE Filing Requirement</w:t>
            </w:r>
          </w:p>
        </w:tc>
        <w:tc>
          <w:tcPr>
            <w:tcW w:w="3075" w:type="dxa"/>
          </w:tcPr>
          <w:p w14:paraId="3C5BB846" w14:textId="504DFB28" w:rsidR="00BC3756" w:rsidRPr="00A0019E" w:rsidRDefault="00155A53" w:rsidP="00C839BE">
            <w:pPr>
              <w:rPr>
                <w:sz w:val="21"/>
                <w:szCs w:val="21"/>
              </w:rPr>
            </w:pPr>
            <w:r>
              <w:rPr>
                <w:sz w:val="21"/>
                <w:szCs w:val="21"/>
              </w:rPr>
              <w:t>Insurers cannot imply that the rate increase was initiated by the DOI – must clearly state the insurer requested this increase and the DOI approved the request based on actuarial principles.</w:t>
            </w:r>
          </w:p>
        </w:tc>
        <w:tc>
          <w:tcPr>
            <w:tcW w:w="1376" w:type="dxa"/>
          </w:tcPr>
          <w:p w14:paraId="25B928D4" w14:textId="77777777" w:rsidR="00BC3756" w:rsidRPr="00A0019E" w:rsidRDefault="00BC3756" w:rsidP="00C104DE">
            <w:pPr>
              <w:rPr>
                <w:sz w:val="21"/>
                <w:szCs w:val="21"/>
              </w:rPr>
            </w:pPr>
          </w:p>
        </w:tc>
      </w:tr>
      <w:tr w:rsidR="001142D4" w:rsidRPr="00A0019E" w14:paraId="0FF341AF" w14:textId="77777777" w:rsidTr="008A0525">
        <w:tc>
          <w:tcPr>
            <w:tcW w:w="1174" w:type="dxa"/>
          </w:tcPr>
          <w:p w14:paraId="3DF40874" w14:textId="0B478225" w:rsidR="001142D4" w:rsidRPr="00A0019E" w:rsidRDefault="00BA3179" w:rsidP="000A4A79">
            <w:pPr>
              <w:rPr>
                <w:sz w:val="21"/>
                <w:szCs w:val="21"/>
              </w:rPr>
            </w:pPr>
            <w:r w:rsidRPr="00A0019E">
              <w:rPr>
                <w:sz w:val="21"/>
                <w:szCs w:val="21"/>
              </w:rPr>
              <w:sym w:font="Wingdings" w:char="F06F"/>
            </w:r>
          </w:p>
        </w:tc>
        <w:tc>
          <w:tcPr>
            <w:tcW w:w="2338" w:type="dxa"/>
          </w:tcPr>
          <w:p w14:paraId="55F51E82" w14:textId="77777777" w:rsidR="001142D4" w:rsidRDefault="001142D4" w:rsidP="006D10A1">
            <w:pPr>
              <w:rPr>
                <w:sz w:val="21"/>
                <w:szCs w:val="21"/>
              </w:rPr>
            </w:pPr>
            <w:r>
              <w:rPr>
                <w:sz w:val="21"/>
                <w:szCs w:val="21"/>
              </w:rPr>
              <w:t>Disclosure re guaranteed renewable and possibility of future increases</w:t>
            </w:r>
          </w:p>
        </w:tc>
        <w:tc>
          <w:tcPr>
            <w:tcW w:w="1387" w:type="dxa"/>
          </w:tcPr>
          <w:p w14:paraId="37A04F4C" w14:textId="65082252" w:rsidR="001142D4" w:rsidRPr="00A0019E" w:rsidRDefault="00DA5698" w:rsidP="00C104DE">
            <w:pPr>
              <w:rPr>
                <w:sz w:val="21"/>
                <w:szCs w:val="21"/>
              </w:rPr>
            </w:pPr>
            <w:r>
              <w:rPr>
                <w:sz w:val="21"/>
                <w:szCs w:val="21"/>
              </w:rPr>
              <w:t>NE Filing Requirement</w:t>
            </w:r>
          </w:p>
        </w:tc>
        <w:tc>
          <w:tcPr>
            <w:tcW w:w="3075" w:type="dxa"/>
          </w:tcPr>
          <w:p w14:paraId="1C0EE9EF" w14:textId="6351789B" w:rsidR="001142D4" w:rsidRDefault="001142D4" w:rsidP="00C839BE">
            <w:pPr>
              <w:rPr>
                <w:sz w:val="21"/>
                <w:szCs w:val="21"/>
              </w:rPr>
            </w:pPr>
            <w:r>
              <w:rPr>
                <w:sz w:val="21"/>
                <w:szCs w:val="21"/>
              </w:rPr>
              <w:t>Clear disclosur</w:t>
            </w:r>
            <w:r w:rsidR="00502735">
              <w:rPr>
                <w:sz w:val="21"/>
                <w:szCs w:val="21"/>
              </w:rPr>
              <w:t>e</w:t>
            </w:r>
            <w:r w:rsidR="00502735">
              <w:rPr>
                <w:sz w:val="21"/>
                <w:szCs w:val="21"/>
              </w:rPr>
              <w:t xml:space="preserve"> </w:t>
            </w:r>
            <w:r w:rsidR="00502735">
              <w:rPr>
                <w:sz w:val="21"/>
                <w:szCs w:val="21"/>
              </w:rPr>
              <w:t xml:space="preserve">stated </w:t>
            </w:r>
            <w:r w:rsidR="00502735">
              <w:rPr>
                <w:sz w:val="21"/>
                <w:szCs w:val="21"/>
              </w:rPr>
              <w:t>in the policyholder letter</w:t>
            </w:r>
            <w:r>
              <w:rPr>
                <w:sz w:val="21"/>
                <w:szCs w:val="21"/>
              </w:rPr>
              <w:t xml:space="preserve"> of the guaranteed renewable nature of the product and that the insured should understand that premium rates may increase again in the future</w:t>
            </w:r>
            <w:r w:rsidR="00FF7C10">
              <w:rPr>
                <w:sz w:val="21"/>
                <w:szCs w:val="21"/>
              </w:rPr>
              <w:t xml:space="preserve">. </w:t>
            </w:r>
          </w:p>
        </w:tc>
        <w:tc>
          <w:tcPr>
            <w:tcW w:w="1376" w:type="dxa"/>
          </w:tcPr>
          <w:p w14:paraId="033128B4" w14:textId="77777777" w:rsidR="001142D4" w:rsidRPr="00A0019E" w:rsidRDefault="001142D4" w:rsidP="00C104DE">
            <w:pPr>
              <w:rPr>
                <w:sz w:val="21"/>
                <w:szCs w:val="21"/>
              </w:rPr>
            </w:pPr>
          </w:p>
        </w:tc>
      </w:tr>
      <w:tr w:rsidR="00BC3756" w:rsidRPr="00A0019E" w14:paraId="59A0BEE8" w14:textId="77777777" w:rsidTr="00796D1D">
        <w:tc>
          <w:tcPr>
            <w:tcW w:w="1174" w:type="dxa"/>
            <w:shd w:val="clear" w:color="auto" w:fill="E7E6E6" w:themeFill="background2"/>
          </w:tcPr>
          <w:p w14:paraId="022B8436" w14:textId="77777777" w:rsidR="00BC3756" w:rsidRPr="00A0019E" w:rsidRDefault="00BC3756" w:rsidP="004B333B">
            <w:pPr>
              <w:rPr>
                <w:b/>
                <w:sz w:val="21"/>
                <w:szCs w:val="21"/>
              </w:rPr>
            </w:pPr>
          </w:p>
        </w:tc>
        <w:tc>
          <w:tcPr>
            <w:tcW w:w="8176" w:type="dxa"/>
            <w:gridSpan w:val="4"/>
            <w:shd w:val="clear" w:color="auto" w:fill="E7E6E6" w:themeFill="background2"/>
          </w:tcPr>
          <w:p w14:paraId="5A7BC77C" w14:textId="77777777" w:rsidR="00BC3756" w:rsidRPr="00D85BAE" w:rsidRDefault="00D85BAE" w:rsidP="004B333B">
            <w:pPr>
              <w:rPr>
                <w:b/>
                <w:sz w:val="21"/>
                <w:szCs w:val="21"/>
              </w:rPr>
            </w:pPr>
            <w:r w:rsidRPr="00D85BAE">
              <w:rPr>
                <w:b/>
                <w:sz w:val="21"/>
                <w:szCs w:val="21"/>
              </w:rPr>
              <w:t>INCREASES PHASED IN OVER MULTIPLE YEARS</w:t>
            </w:r>
          </w:p>
        </w:tc>
      </w:tr>
      <w:tr w:rsidR="00A0019E" w:rsidRPr="00A0019E" w14:paraId="038D260B" w14:textId="77777777" w:rsidTr="008A0525">
        <w:tc>
          <w:tcPr>
            <w:tcW w:w="1174" w:type="dxa"/>
          </w:tcPr>
          <w:p w14:paraId="06C8B97B" w14:textId="51588175" w:rsidR="00FC56AA" w:rsidRPr="00A0019E" w:rsidRDefault="00BA3179" w:rsidP="00FC56AA">
            <w:pPr>
              <w:rPr>
                <w:sz w:val="21"/>
                <w:szCs w:val="21"/>
              </w:rPr>
            </w:pPr>
            <w:r w:rsidRPr="00A0019E">
              <w:rPr>
                <w:sz w:val="21"/>
                <w:szCs w:val="21"/>
              </w:rPr>
              <w:sym w:font="Wingdings" w:char="F06F"/>
            </w:r>
          </w:p>
        </w:tc>
        <w:tc>
          <w:tcPr>
            <w:tcW w:w="2338" w:type="dxa"/>
          </w:tcPr>
          <w:p w14:paraId="5D804613" w14:textId="224D9A65" w:rsidR="00FC56AA" w:rsidRPr="00A0019E" w:rsidRDefault="00D85BAE" w:rsidP="00CC61D1">
            <w:pPr>
              <w:rPr>
                <w:sz w:val="21"/>
                <w:szCs w:val="21"/>
              </w:rPr>
            </w:pPr>
            <w:r>
              <w:rPr>
                <w:sz w:val="21"/>
                <w:szCs w:val="21"/>
              </w:rPr>
              <w:t>If phased-in over multiple years, letters for each year</w:t>
            </w:r>
            <w:r w:rsidR="00C91E48">
              <w:rPr>
                <w:sz w:val="21"/>
                <w:szCs w:val="21"/>
              </w:rPr>
              <w:t xml:space="preserve">, also subject to </w:t>
            </w:r>
            <w:r w:rsidR="00554098">
              <w:rPr>
                <w:sz w:val="21"/>
                <w:szCs w:val="21"/>
              </w:rPr>
              <w:t xml:space="preserve">60 days’ notice. </w:t>
            </w:r>
            <w:r w:rsidR="00554098">
              <w:rPr>
                <w:sz w:val="21"/>
                <w:szCs w:val="21"/>
              </w:rPr>
              <w:br/>
            </w:r>
          </w:p>
        </w:tc>
        <w:tc>
          <w:tcPr>
            <w:tcW w:w="1387" w:type="dxa"/>
          </w:tcPr>
          <w:p w14:paraId="1D0D2F0E" w14:textId="58A76B9D" w:rsidR="00FC56AA" w:rsidRPr="00A0019E" w:rsidRDefault="00DA5698" w:rsidP="00D07A14">
            <w:pPr>
              <w:rPr>
                <w:sz w:val="21"/>
                <w:szCs w:val="21"/>
              </w:rPr>
            </w:pPr>
            <w:r>
              <w:rPr>
                <w:sz w:val="21"/>
                <w:szCs w:val="21"/>
              </w:rPr>
              <w:t>NE Filing Requirement</w:t>
            </w:r>
          </w:p>
        </w:tc>
        <w:tc>
          <w:tcPr>
            <w:tcW w:w="3075" w:type="dxa"/>
          </w:tcPr>
          <w:p w14:paraId="1DD2F1FF" w14:textId="7D0FB85A" w:rsidR="00FC56AA" w:rsidRPr="00A0019E" w:rsidRDefault="009C1DF2" w:rsidP="00B768D9">
            <w:pPr>
              <w:rPr>
                <w:sz w:val="21"/>
                <w:szCs w:val="21"/>
              </w:rPr>
            </w:pPr>
            <w:r>
              <w:rPr>
                <w:sz w:val="21"/>
                <w:szCs w:val="21"/>
              </w:rPr>
              <w:t>Letters for second or third years of phased-in increase must include reference to the prior increase, e.g., “</w:t>
            </w:r>
            <w:r>
              <w:t xml:space="preserve">This is the second increase of three.  This letter serves as a reminder that we notified you of this increase last year and the </w:t>
            </w:r>
            <w:proofErr w:type="gramStart"/>
            <w:r>
              <w:t>third rate</w:t>
            </w:r>
            <w:proofErr w:type="gramEnd"/>
            <w:r>
              <w:t xml:space="preserve"> increase is scheduled to take place one year from now.”</w:t>
            </w:r>
          </w:p>
        </w:tc>
        <w:tc>
          <w:tcPr>
            <w:tcW w:w="1376" w:type="dxa"/>
          </w:tcPr>
          <w:p w14:paraId="409A892C" w14:textId="77777777" w:rsidR="00FC56AA" w:rsidRPr="00A0019E" w:rsidRDefault="00FC56AA" w:rsidP="00FC56AA">
            <w:pPr>
              <w:rPr>
                <w:sz w:val="21"/>
                <w:szCs w:val="21"/>
              </w:rPr>
            </w:pPr>
          </w:p>
        </w:tc>
      </w:tr>
      <w:tr w:rsidR="00A0019E" w:rsidRPr="00A0019E" w14:paraId="2EA29020" w14:textId="77777777" w:rsidTr="008A0525">
        <w:tc>
          <w:tcPr>
            <w:tcW w:w="1174" w:type="dxa"/>
          </w:tcPr>
          <w:p w14:paraId="58F92B4B" w14:textId="4B6B524D" w:rsidR="00FC56AA" w:rsidRPr="00A0019E" w:rsidRDefault="00BA3179" w:rsidP="00FC56AA">
            <w:pPr>
              <w:rPr>
                <w:sz w:val="21"/>
                <w:szCs w:val="21"/>
              </w:rPr>
            </w:pPr>
            <w:r w:rsidRPr="00A0019E">
              <w:rPr>
                <w:sz w:val="21"/>
                <w:szCs w:val="21"/>
              </w:rPr>
              <w:sym w:font="Wingdings" w:char="F06F"/>
            </w:r>
          </w:p>
        </w:tc>
        <w:tc>
          <w:tcPr>
            <w:tcW w:w="2338" w:type="dxa"/>
          </w:tcPr>
          <w:p w14:paraId="69FEB808" w14:textId="77777777" w:rsidR="00FC56AA" w:rsidRPr="00A0019E" w:rsidRDefault="00D85BAE" w:rsidP="00FC56AA">
            <w:pPr>
              <w:rPr>
                <w:sz w:val="21"/>
                <w:szCs w:val="21"/>
              </w:rPr>
            </w:pPr>
            <w:r>
              <w:rPr>
                <w:sz w:val="21"/>
                <w:szCs w:val="21"/>
              </w:rPr>
              <w:t>Letters identify all remaining premium increases to be applied</w:t>
            </w:r>
          </w:p>
        </w:tc>
        <w:tc>
          <w:tcPr>
            <w:tcW w:w="1387" w:type="dxa"/>
          </w:tcPr>
          <w:p w14:paraId="6BE6F84D" w14:textId="70F13084" w:rsidR="00FC56AA" w:rsidRPr="00A0019E" w:rsidRDefault="00DA5698" w:rsidP="00FC56AA">
            <w:pPr>
              <w:rPr>
                <w:sz w:val="21"/>
                <w:szCs w:val="21"/>
              </w:rPr>
            </w:pPr>
            <w:r>
              <w:rPr>
                <w:sz w:val="21"/>
                <w:szCs w:val="21"/>
              </w:rPr>
              <w:t>NE Filing Requirement</w:t>
            </w:r>
          </w:p>
        </w:tc>
        <w:tc>
          <w:tcPr>
            <w:tcW w:w="3075" w:type="dxa"/>
          </w:tcPr>
          <w:p w14:paraId="16D0834F" w14:textId="2DE7A127" w:rsidR="00FC56AA" w:rsidRPr="00A0019E" w:rsidRDefault="007225A0" w:rsidP="00FC56AA">
            <w:pPr>
              <w:rPr>
                <w:sz w:val="21"/>
                <w:szCs w:val="21"/>
              </w:rPr>
            </w:pPr>
            <w:r>
              <w:rPr>
                <w:sz w:val="21"/>
                <w:szCs w:val="21"/>
              </w:rPr>
              <w:t>The premium needs to be stated in the policyholder letter.</w:t>
            </w:r>
          </w:p>
        </w:tc>
        <w:tc>
          <w:tcPr>
            <w:tcW w:w="1376" w:type="dxa"/>
          </w:tcPr>
          <w:p w14:paraId="584A1F60" w14:textId="77777777" w:rsidR="00FC56AA" w:rsidRPr="00A0019E" w:rsidRDefault="00FC56AA" w:rsidP="00FC56AA">
            <w:pPr>
              <w:rPr>
                <w:sz w:val="21"/>
                <w:szCs w:val="21"/>
              </w:rPr>
            </w:pPr>
          </w:p>
        </w:tc>
      </w:tr>
      <w:tr w:rsidR="00A0019E" w:rsidRPr="00A0019E" w14:paraId="3A4992F2" w14:textId="77777777" w:rsidTr="008A0525">
        <w:tc>
          <w:tcPr>
            <w:tcW w:w="1174" w:type="dxa"/>
          </w:tcPr>
          <w:p w14:paraId="2D7FE4D5" w14:textId="6F4123EB" w:rsidR="00FC56AA" w:rsidRPr="00A0019E" w:rsidRDefault="00BA3179" w:rsidP="00FC56AA">
            <w:pPr>
              <w:rPr>
                <w:sz w:val="21"/>
                <w:szCs w:val="21"/>
              </w:rPr>
            </w:pPr>
            <w:r w:rsidRPr="00A0019E">
              <w:rPr>
                <w:sz w:val="21"/>
                <w:szCs w:val="21"/>
              </w:rPr>
              <w:sym w:font="Wingdings" w:char="F06F"/>
            </w:r>
          </w:p>
        </w:tc>
        <w:tc>
          <w:tcPr>
            <w:tcW w:w="2338" w:type="dxa"/>
          </w:tcPr>
          <w:p w14:paraId="1E7A849D" w14:textId="77777777" w:rsidR="00FC56AA" w:rsidRPr="00A0019E" w:rsidRDefault="00D85BAE" w:rsidP="00FC56AA">
            <w:pPr>
              <w:rPr>
                <w:sz w:val="21"/>
                <w:szCs w:val="21"/>
              </w:rPr>
            </w:pPr>
            <w:r>
              <w:rPr>
                <w:sz w:val="21"/>
                <w:szCs w:val="21"/>
              </w:rPr>
              <w:t>Percentage increases demonstrated with dollar amounts</w:t>
            </w:r>
          </w:p>
        </w:tc>
        <w:tc>
          <w:tcPr>
            <w:tcW w:w="1387" w:type="dxa"/>
          </w:tcPr>
          <w:p w14:paraId="5D3E4E94" w14:textId="74A70FCD" w:rsidR="00FC56AA" w:rsidRPr="00A0019E" w:rsidRDefault="00DA5698" w:rsidP="00FC56AA">
            <w:pPr>
              <w:rPr>
                <w:sz w:val="21"/>
                <w:szCs w:val="21"/>
              </w:rPr>
            </w:pPr>
            <w:r>
              <w:rPr>
                <w:sz w:val="21"/>
                <w:szCs w:val="21"/>
              </w:rPr>
              <w:t>NE Filing Requirement</w:t>
            </w:r>
          </w:p>
        </w:tc>
        <w:tc>
          <w:tcPr>
            <w:tcW w:w="3075" w:type="dxa"/>
          </w:tcPr>
          <w:p w14:paraId="3A5971E9" w14:textId="77777777" w:rsidR="00FC56AA" w:rsidRPr="00A0019E" w:rsidRDefault="00D85BAE" w:rsidP="00FC56AA">
            <w:pPr>
              <w:rPr>
                <w:sz w:val="21"/>
                <w:szCs w:val="21"/>
              </w:rPr>
            </w:pPr>
            <w:r>
              <w:rPr>
                <w:sz w:val="21"/>
                <w:szCs w:val="21"/>
              </w:rPr>
              <w:t>Avoids policyholder confusion with compounding effect of percentage increases</w:t>
            </w:r>
          </w:p>
        </w:tc>
        <w:tc>
          <w:tcPr>
            <w:tcW w:w="1376" w:type="dxa"/>
          </w:tcPr>
          <w:p w14:paraId="1473D1F0" w14:textId="77777777" w:rsidR="00FC56AA" w:rsidRPr="00A0019E" w:rsidRDefault="00FC56AA" w:rsidP="00FC56AA">
            <w:pPr>
              <w:rPr>
                <w:sz w:val="21"/>
                <w:szCs w:val="21"/>
              </w:rPr>
            </w:pPr>
          </w:p>
        </w:tc>
      </w:tr>
      <w:tr w:rsidR="00A0019E" w:rsidRPr="00A0019E" w14:paraId="2173AE32" w14:textId="77777777" w:rsidTr="008A0525">
        <w:tc>
          <w:tcPr>
            <w:tcW w:w="1174" w:type="dxa"/>
          </w:tcPr>
          <w:p w14:paraId="33970E94" w14:textId="310BE74E" w:rsidR="00FC56AA" w:rsidRPr="00A0019E" w:rsidRDefault="00BA3179" w:rsidP="00FC56AA">
            <w:pPr>
              <w:rPr>
                <w:sz w:val="21"/>
                <w:szCs w:val="21"/>
              </w:rPr>
            </w:pPr>
            <w:r w:rsidRPr="00A0019E">
              <w:rPr>
                <w:sz w:val="21"/>
                <w:szCs w:val="21"/>
              </w:rPr>
              <w:sym w:font="Wingdings" w:char="F06F"/>
            </w:r>
          </w:p>
        </w:tc>
        <w:tc>
          <w:tcPr>
            <w:tcW w:w="2338" w:type="dxa"/>
          </w:tcPr>
          <w:p w14:paraId="4517143D" w14:textId="77777777" w:rsidR="00FC56AA" w:rsidRPr="00A0019E" w:rsidRDefault="00211057" w:rsidP="000D4D13">
            <w:pPr>
              <w:rPr>
                <w:sz w:val="21"/>
                <w:szCs w:val="21"/>
              </w:rPr>
            </w:pPr>
            <w:r>
              <w:rPr>
                <w:sz w:val="21"/>
                <w:szCs w:val="21"/>
              </w:rPr>
              <w:t>CBL trigger is full increase</w:t>
            </w:r>
          </w:p>
        </w:tc>
        <w:tc>
          <w:tcPr>
            <w:tcW w:w="1387" w:type="dxa"/>
          </w:tcPr>
          <w:p w14:paraId="21704526" w14:textId="4DC0F600" w:rsidR="00FC56AA" w:rsidRPr="00A0019E" w:rsidRDefault="00DA5698" w:rsidP="00FC56AA">
            <w:pPr>
              <w:rPr>
                <w:sz w:val="21"/>
                <w:szCs w:val="21"/>
              </w:rPr>
            </w:pPr>
            <w:r>
              <w:rPr>
                <w:sz w:val="21"/>
                <w:szCs w:val="21"/>
              </w:rPr>
              <w:t>NE Filing Requirement</w:t>
            </w:r>
          </w:p>
        </w:tc>
        <w:tc>
          <w:tcPr>
            <w:tcW w:w="3075" w:type="dxa"/>
          </w:tcPr>
          <w:p w14:paraId="6B19863D" w14:textId="77777777" w:rsidR="00FC56AA" w:rsidRPr="00A0019E" w:rsidRDefault="00211057" w:rsidP="00FC56AA">
            <w:pPr>
              <w:rPr>
                <w:sz w:val="21"/>
                <w:szCs w:val="21"/>
              </w:rPr>
            </w:pPr>
            <w:r>
              <w:rPr>
                <w:sz w:val="21"/>
                <w:szCs w:val="21"/>
              </w:rPr>
              <w:t>CBL must be offered each year, the total increase is used to determine if CBL is triggered (see CBL section below)</w:t>
            </w:r>
          </w:p>
        </w:tc>
        <w:tc>
          <w:tcPr>
            <w:tcW w:w="1376" w:type="dxa"/>
          </w:tcPr>
          <w:p w14:paraId="4D3FBE48" w14:textId="77777777" w:rsidR="00FC56AA" w:rsidRPr="00A0019E" w:rsidRDefault="00FC56AA" w:rsidP="00FC56AA">
            <w:pPr>
              <w:rPr>
                <w:sz w:val="21"/>
                <w:szCs w:val="21"/>
              </w:rPr>
            </w:pPr>
          </w:p>
        </w:tc>
      </w:tr>
      <w:tr w:rsidR="009B0BC6" w:rsidRPr="00A0019E" w14:paraId="241D5103" w14:textId="77777777" w:rsidTr="00C80848">
        <w:tc>
          <w:tcPr>
            <w:tcW w:w="1174" w:type="dxa"/>
            <w:shd w:val="clear" w:color="auto" w:fill="E7E6E6" w:themeFill="background2"/>
          </w:tcPr>
          <w:p w14:paraId="6DEE6610" w14:textId="77777777" w:rsidR="009B0BC6" w:rsidRPr="00A0019E" w:rsidRDefault="009B0BC6" w:rsidP="00DE7742">
            <w:pPr>
              <w:rPr>
                <w:b/>
                <w:sz w:val="21"/>
                <w:szCs w:val="21"/>
              </w:rPr>
            </w:pPr>
          </w:p>
        </w:tc>
        <w:tc>
          <w:tcPr>
            <w:tcW w:w="8176" w:type="dxa"/>
            <w:gridSpan w:val="4"/>
            <w:shd w:val="clear" w:color="auto" w:fill="E7E6E6" w:themeFill="background2"/>
          </w:tcPr>
          <w:p w14:paraId="6DCE72F7" w14:textId="0266F0DB" w:rsidR="009C1DF2" w:rsidRPr="008A1E1C" w:rsidRDefault="00D85BAE" w:rsidP="00DE7742">
            <w:pPr>
              <w:rPr>
                <w:b/>
                <w:sz w:val="21"/>
                <w:szCs w:val="21"/>
              </w:rPr>
            </w:pPr>
            <w:r>
              <w:rPr>
                <w:b/>
                <w:sz w:val="21"/>
                <w:szCs w:val="21"/>
              </w:rPr>
              <w:t>BENEFIT REDUCTION OR RATE INCREASE MITIGATION OPTIONS:</w:t>
            </w:r>
          </w:p>
        </w:tc>
      </w:tr>
      <w:tr w:rsidR="009C1DF2" w:rsidRPr="00A0019E" w14:paraId="5C98496A" w14:textId="77777777" w:rsidTr="008A0525">
        <w:tc>
          <w:tcPr>
            <w:tcW w:w="1174" w:type="dxa"/>
          </w:tcPr>
          <w:p w14:paraId="7344E7F9" w14:textId="30B57BC5" w:rsidR="009C1DF2" w:rsidRPr="00A0019E" w:rsidRDefault="00BA3179" w:rsidP="00D85BAE">
            <w:pPr>
              <w:rPr>
                <w:sz w:val="21"/>
                <w:szCs w:val="21"/>
              </w:rPr>
            </w:pPr>
            <w:r w:rsidRPr="00A0019E">
              <w:rPr>
                <w:sz w:val="21"/>
                <w:szCs w:val="21"/>
              </w:rPr>
              <w:sym w:font="Wingdings" w:char="F06F"/>
            </w:r>
          </w:p>
        </w:tc>
        <w:tc>
          <w:tcPr>
            <w:tcW w:w="2338" w:type="dxa"/>
          </w:tcPr>
          <w:p w14:paraId="3584222F" w14:textId="41F8E6B0" w:rsidR="009C1DF2" w:rsidRDefault="009C1DF2" w:rsidP="00D85BAE">
            <w:pPr>
              <w:rPr>
                <w:sz w:val="21"/>
                <w:szCs w:val="21"/>
              </w:rPr>
            </w:pPr>
            <w:r>
              <w:rPr>
                <w:sz w:val="21"/>
                <w:szCs w:val="21"/>
              </w:rPr>
              <w:t>Explanation of range of benefits available to policyholders prior to this rate increase</w:t>
            </w:r>
          </w:p>
        </w:tc>
        <w:tc>
          <w:tcPr>
            <w:tcW w:w="1387" w:type="dxa"/>
          </w:tcPr>
          <w:p w14:paraId="2920401D" w14:textId="79A27D21" w:rsidR="009C1DF2" w:rsidRDefault="00DA5698" w:rsidP="00D85BAE">
            <w:r>
              <w:rPr>
                <w:sz w:val="21"/>
                <w:szCs w:val="21"/>
              </w:rPr>
              <w:t>NE Filing Requirement</w:t>
            </w:r>
          </w:p>
        </w:tc>
        <w:tc>
          <w:tcPr>
            <w:tcW w:w="3075" w:type="dxa"/>
          </w:tcPr>
          <w:p w14:paraId="21822419" w14:textId="77777777" w:rsidR="009C1DF2" w:rsidRDefault="009C1DF2" w:rsidP="009C1DF2">
            <w:pPr>
              <w:autoSpaceDE w:val="0"/>
              <w:autoSpaceDN w:val="0"/>
              <w:adjustRightInd w:val="0"/>
              <w:rPr>
                <w:sz w:val="21"/>
                <w:szCs w:val="21"/>
              </w:rPr>
            </w:pPr>
            <w:r>
              <w:rPr>
                <w:sz w:val="21"/>
                <w:szCs w:val="21"/>
              </w:rPr>
              <w:t xml:space="preserve">Listing of each option grouping (riders, inflation protection, etc.) and how the rate increase affects each option grouping, indicate whether each option grouping gets its own letter or explanation of how the company will make sure that insureds receive letters that accurately present the </w:t>
            </w:r>
            <w:r>
              <w:rPr>
                <w:sz w:val="21"/>
                <w:szCs w:val="21"/>
              </w:rPr>
              <w:lastRenderedPageBreak/>
              <w:t xml:space="preserve">benefit package they have, and the options that correspond to that benefit package.  </w:t>
            </w:r>
          </w:p>
          <w:p w14:paraId="5548669C" w14:textId="078AC6CD" w:rsidR="009C1DF2" w:rsidRDefault="009C1DF2" w:rsidP="009C1DF2">
            <w:pPr>
              <w:autoSpaceDE w:val="0"/>
              <w:autoSpaceDN w:val="0"/>
              <w:adjustRightInd w:val="0"/>
              <w:rPr>
                <w:sz w:val="21"/>
                <w:szCs w:val="21"/>
              </w:rPr>
            </w:pPr>
            <w:r>
              <w:rPr>
                <w:sz w:val="21"/>
                <w:szCs w:val="21"/>
              </w:rPr>
              <w:t>Filings with too many bracketed variables and no clear explanation of how that bracketed language will be put into which letter will likely need to be re-submitted in separate letters for clarity and to avoid errors in company communications.</w:t>
            </w:r>
          </w:p>
        </w:tc>
        <w:tc>
          <w:tcPr>
            <w:tcW w:w="1376" w:type="dxa"/>
          </w:tcPr>
          <w:p w14:paraId="559552DA" w14:textId="77777777" w:rsidR="009C1DF2" w:rsidRPr="00A0019E" w:rsidRDefault="009C1DF2" w:rsidP="00D85BAE">
            <w:pPr>
              <w:rPr>
                <w:sz w:val="21"/>
                <w:szCs w:val="21"/>
              </w:rPr>
            </w:pPr>
          </w:p>
        </w:tc>
      </w:tr>
      <w:tr w:rsidR="00DA20D7" w:rsidRPr="00A0019E" w14:paraId="7F456270" w14:textId="77777777" w:rsidTr="008A0525">
        <w:tc>
          <w:tcPr>
            <w:tcW w:w="1174" w:type="dxa"/>
          </w:tcPr>
          <w:p w14:paraId="64FC8A12" w14:textId="3D5A05A4" w:rsidR="00DA20D7" w:rsidRPr="00A0019E" w:rsidRDefault="00BA3179" w:rsidP="00D85BAE">
            <w:pPr>
              <w:rPr>
                <w:sz w:val="21"/>
                <w:szCs w:val="21"/>
              </w:rPr>
            </w:pPr>
            <w:r w:rsidRPr="00A0019E">
              <w:rPr>
                <w:sz w:val="21"/>
                <w:szCs w:val="21"/>
              </w:rPr>
              <w:sym w:font="Wingdings" w:char="F06F"/>
            </w:r>
          </w:p>
        </w:tc>
        <w:tc>
          <w:tcPr>
            <w:tcW w:w="2338" w:type="dxa"/>
          </w:tcPr>
          <w:p w14:paraId="4749BCB0" w14:textId="058B938E" w:rsidR="00DA20D7" w:rsidRDefault="00DA20D7" w:rsidP="00D85BAE">
            <w:pPr>
              <w:rPr>
                <w:sz w:val="21"/>
                <w:szCs w:val="21"/>
              </w:rPr>
            </w:pPr>
            <w:r>
              <w:rPr>
                <w:sz w:val="21"/>
                <w:szCs w:val="21"/>
              </w:rPr>
              <w:t>Listing of options; order</w:t>
            </w:r>
          </w:p>
        </w:tc>
        <w:tc>
          <w:tcPr>
            <w:tcW w:w="1387" w:type="dxa"/>
          </w:tcPr>
          <w:p w14:paraId="72D89835" w14:textId="0B422B08" w:rsidR="00DA20D7" w:rsidRDefault="00DA20D7" w:rsidP="00D85BAE">
            <w:pPr>
              <w:rPr>
                <w:sz w:val="21"/>
                <w:szCs w:val="21"/>
              </w:rPr>
            </w:pPr>
            <w:r>
              <w:rPr>
                <w:sz w:val="21"/>
                <w:szCs w:val="21"/>
              </w:rPr>
              <w:t>NE Filing Requirement</w:t>
            </w:r>
          </w:p>
        </w:tc>
        <w:tc>
          <w:tcPr>
            <w:tcW w:w="3075" w:type="dxa"/>
          </w:tcPr>
          <w:p w14:paraId="7A541526" w14:textId="13B824A2" w:rsidR="00DA20D7" w:rsidRDefault="00DA20D7" w:rsidP="009C1DF2">
            <w:pPr>
              <w:autoSpaceDE w:val="0"/>
              <w:autoSpaceDN w:val="0"/>
              <w:adjustRightInd w:val="0"/>
              <w:rPr>
                <w:sz w:val="21"/>
                <w:szCs w:val="21"/>
              </w:rPr>
            </w:pPr>
            <w:r>
              <w:rPr>
                <w:sz w:val="21"/>
                <w:szCs w:val="21"/>
              </w:rPr>
              <w:t>The first option presented in a list and discussion must be to keep paying premiums at the increased rate.</w:t>
            </w:r>
          </w:p>
        </w:tc>
        <w:tc>
          <w:tcPr>
            <w:tcW w:w="1376" w:type="dxa"/>
          </w:tcPr>
          <w:p w14:paraId="06BC423A" w14:textId="77777777" w:rsidR="00DA20D7" w:rsidRPr="00A0019E" w:rsidRDefault="00DA20D7" w:rsidP="00D85BAE">
            <w:pPr>
              <w:rPr>
                <w:sz w:val="21"/>
                <w:szCs w:val="21"/>
              </w:rPr>
            </w:pPr>
          </w:p>
        </w:tc>
      </w:tr>
      <w:tr w:rsidR="00D85BAE" w:rsidRPr="00A0019E" w14:paraId="604C7BDF" w14:textId="77777777" w:rsidTr="008A0525">
        <w:tc>
          <w:tcPr>
            <w:tcW w:w="1174" w:type="dxa"/>
          </w:tcPr>
          <w:p w14:paraId="13B9AD7E" w14:textId="41972C96" w:rsidR="00D85BAE" w:rsidRPr="00A0019E" w:rsidRDefault="00BA3179" w:rsidP="00D85BAE">
            <w:pPr>
              <w:rPr>
                <w:sz w:val="21"/>
                <w:szCs w:val="21"/>
              </w:rPr>
            </w:pPr>
            <w:r w:rsidRPr="00A0019E">
              <w:rPr>
                <w:sz w:val="21"/>
                <w:szCs w:val="21"/>
              </w:rPr>
              <w:sym w:font="Wingdings" w:char="F06F"/>
            </w:r>
          </w:p>
        </w:tc>
        <w:tc>
          <w:tcPr>
            <w:tcW w:w="2338" w:type="dxa"/>
          </w:tcPr>
          <w:p w14:paraId="5541869A" w14:textId="77777777" w:rsidR="00D85BAE" w:rsidRDefault="00D85BAE" w:rsidP="00D85BAE">
            <w:pPr>
              <w:rPr>
                <w:sz w:val="21"/>
                <w:szCs w:val="21"/>
              </w:rPr>
            </w:pPr>
            <w:r>
              <w:rPr>
                <w:sz w:val="21"/>
                <w:szCs w:val="21"/>
              </w:rPr>
              <w:t>Summary of current benefits</w:t>
            </w:r>
          </w:p>
        </w:tc>
        <w:tc>
          <w:tcPr>
            <w:tcW w:w="1387" w:type="dxa"/>
          </w:tcPr>
          <w:p w14:paraId="4DD594E4" w14:textId="27C665D6" w:rsidR="00D85BAE" w:rsidRDefault="00DA5698" w:rsidP="00D85BAE">
            <w:r>
              <w:rPr>
                <w:sz w:val="21"/>
                <w:szCs w:val="21"/>
              </w:rPr>
              <w:t>NE Filing Requirement</w:t>
            </w:r>
          </w:p>
        </w:tc>
        <w:tc>
          <w:tcPr>
            <w:tcW w:w="3075" w:type="dxa"/>
          </w:tcPr>
          <w:p w14:paraId="15BDCB98" w14:textId="77777777" w:rsidR="00D85BAE" w:rsidRPr="00771DE9" w:rsidRDefault="00D85BAE" w:rsidP="00D85BAE">
            <w:pPr>
              <w:autoSpaceDE w:val="0"/>
              <w:autoSpaceDN w:val="0"/>
              <w:adjustRightInd w:val="0"/>
              <w:rPr>
                <w:rFonts w:cstheme="minorHAnsi"/>
                <w:i/>
                <w:sz w:val="21"/>
                <w:szCs w:val="21"/>
              </w:rPr>
            </w:pPr>
            <w:r>
              <w:rPr>
                <w:sz w:val="21"/>
                <w:szCs w:val="21"/>
              </w:rPr>
              <w:t>Information about current benefits, including daily benefit amount, elimination periods, maximum lifetime benefits, any other material riders.</w:t>
            </w:r>
          </w:p>
        </w:tc>
        <w:tc>
          <w:tcPr>
            <w:tcW w:w="1376" w:type="dxa"/>
          </w:tcPr>
          <w:p w14:paraId="2D3834C0" w14:textId="77777777" w:rsidR="00D85BAE" w:rsidRPr="00A0019E" w:rsidRDefault="00D85BAE" w:rsidP="00D85BAE">
            <w:pPr>
              <w:rPr>
                <w:sz w:val="21"/>
                <w:szCs w:val="21"/>
              </w:rPr>
            </w:pPr>
          </w:p>
        </w:tc>
      </w:tr>
      <w:tr w:rsidR="00D85BAE" w:rsidRPr="00A0019E" w14:paraId="70E8E27C" w14:textId="77777777" w:rsidTr="008A0525">
        <w:tc>
          <w:tcPr>
            <w:tcW w:w="1174" w:type="dxa"/>
          </w:tcPr>
          <w:p w14:paraId="7138F6D8" w14:textId="5F963F52" w:rsidR="00D85BAE" w:rsidRPr="00A0019E" w:rsidRDefault="00BA3179" w:rsidP="00D85BAE">
            <w:pPr>
              <w:rPr>
                <w:sz w:val="21"/>
                <w:szCs w:val="21"/>
              </w:rPr>
            </w:pPr>
            <w:r w:rsidRPr="00A0019E">
              <w:rPr>
                <w:sz w:val="21"/>
                <w:szCs w:val="21"/>
              </w:rPr>
              <w:sym w:font="Wingdings" w:char="F06F"/>
            </w:r>
          </w:p>
        </w:tc>
        <w:tc>
          <w:tcPr>
            <w:tcW w:w="2338" w:type="dxa"/>
          </w:tcPr>
          <w:p w14:paraId="3162BEB2" w14:textId="77777777" w:rsidR="00D85BAE" w:rsidRPr="00A0019E" w:rsidRDefault="00D85BAE" w:rsidP="00D85BAE">
            <w:pPr>
              <w:rPr>
                <w:sz w:val="21"/>
                <w:szCs w:val="21"/>
              </w:rPr>
            </w:pPr>
            <w:r>
              <w:rPr>
                <w:sz w:val="21"/>
                <w:szCs w:val="21"/>
              </w:rPr>
              <w:t>Summary of options</w:t>
            </w:r>
          </w:p>
        </w:tc>
        <w:tc>
          <w:tcPr>
            <w:tcW w:w="1387" w:type="dxa"/>
          </w:tcPr>
          <w:p w14:paraId="343A80D1" w14:textId="2C5696C0" w:rsidR="00D85BAE" w:rsidRPr="00A0019E" w:rsidRDefault="00DA5698" w:rsidP="00D85BAE">
            <w:pPr>
              <w:rPr>
                <w:sz w:val="21"/>
                <w:szCs w:val="21"/>
              </w:rPr>
            </w:pPr>
            <w:r>
              <w:rPr>
                <w:sz w:val="21"/>
                <w:szCs w:val="21"/>
              </w:rPr>
              <w:t>NE Filing Requirement</w:t>
            </w:r>
          </w:p>
        </w:tc>
        <w:tc>
          <w:tcPr>
            <w:tcW w:w="3075" w:type="dxa"/>
          </w:tcPr>
          <w:p w14:paraId="436C96B6" w14:textId="77777777" w:rsidR="00D85BAE" w:rsidRPr="005D0531" w:rsidRDefault="00CC61D1" w:rsidP="00D85BAE">
            <w:pPr>
              <w:autoSpaceDE w:val="0"/>
              <w:autoSpaceDN w:val="0"/>
              <w:adjustRightInd w:val="0"/>
              <w:rPr>
                <w:sz w:val="21"/>
                <w:szCs w:val="21"/>
              </w:rPr>
            </w:pPr>
            <w:r>
              <w:rPr>
                <w:sz w:val="21"/>
                <w:szCs w:val="21"/>
              </w:rPr>
              <w:t xml:space="preserve">Bulleted list of options. </w:t>
            </w:r>
            <w:r w:rsidR="00D85BAE">
              <w:rPr>
                <w:sz w:val="21"/>
                <w:szCs w:val="21"/>
              </w:rPr>
              <w:t>Information about how benefit items change with each mitigation option detailed in the letter.</w:t>
            </w:r>
          </w:p>
        </w:tc>
        <w:tc>
          <w:tcPr>
            <w:tcW w:w="1376" w:type="dxa"/>
          </w:tcPr>
          <w:p w14:paraId="37DE9437" w14:textId="77777777" w:rsidR="00D85BAE" w:rsidRPr="00A0019E" w:rsidRDefault="00D85BAE" w:rsidP="00D85BAE">
            <w:pPr>
              <w:rPr>
                <w:sz w:val="21"/>
                <w:szCs w:val="21"/>
              </w:rPr>
            </w:pPr>
          </w:p>
        </w:tc>
      </w:tr>
      <w:tr w:rsidR="00CC61D1" w:rsidRPr="00A0019E" w14:paraId="421CC4DF" w14:textId="77777777" w:rsidTr="008A0525">
        <w:tc>
          <w:tcPr>
            <w:tcW w:w="1174" w:type="dxa"/>
          </w:tcPr>
          <w:p w14:paraId="3145AD74" w14:textId="22081BE9" w:rsidR="00CC61D1" w:rsidRPr="00A0019E" w:rsidRDefault="00BA3179" w:rsidP="00D85BAE">
            <w:pPr>
              <w:rPr>
                <w:sz w:val="21"/>
                <w:szCs w:val="21"/>
              </w:rPr>
            </w:pPr>
            <w:r w:rsidRPr="00A0019E">
              <w:rPr>
                <w:sz w:val="21"/>
                <w:szCs w:val="21"/>
              </w:rPr>
              <w:sym w:font="Wingdings" w:char="F06F"/>
            </w:r>
          </w:p>
        </w:tc>
        <w:tc>
          <w:tcPr>
            <w:tcW w:w="2338" w:type="dxa"/>
          </w:tcPr>
          <w:p w14:paraId="591BFF19" w14:textId="77777777" w:rsidR="00CC61D1" w:rsidRDefault="00CC61D1" w:rsidP="00D85BAE">
            <w:pPr>
              <w:rPr>
                <w:sz w:val="21"/>
                <w:szCs w:val="21"/>
              </w:rPr>
            </w:pPr>
            <w:r>
              <w:rPr>
                <w:sz w:val="21"/>
                <w:szCs w:val="21"/>
              </w:rPr>
              <w:t>Removing or reducing inflation protection</w:t>
            </w:r>
          </w:p>
        </w:tc>
        <w:tc>
          <w:tcPr>
            <w:tcW w:w="1387" w:type="dxa"/>
          </w:tcPr>
          <w:p w14:paraId="2216589F" w14:textId="1A988AF3" w:rsidR="00CC61D1" w:rsidRPr="00A0019E" w:rsidRDefault="00DA5698" w:rsidP="00D85BAE">
            <w:pPr>
              <w:rPr>
                <w:sz w:val="21"/>
                <w:szCs w:val="21"/>
              </w:rPr>
            </w:pPr>
            <w:r>
              <w:rPr>
                <w:sz w:val="21"/>
                <w:szCs w:val="21"/>
              </w:rPr>
              <w:t>NE Filing Requirement</w:t>
            </w:r>
          </w:p>
        </w:tc>
        <w:tc>
          <w:tcPr>
            <w:tcW w:w="3075" w:type="dxa"/>
          </w:tcPr>
          <w:p w14:paraId="4E528CE0" w14:textId="77777777" w:rsidR="00CC61D1" w:rsidRDefault="00CC61D1" w:rsidP="00D85BAE">
            <w:pPr>
              <w:autoSpaceDE w:val="0"/>
              <w:autoSpaceDN w:val="0"/>
              <w:adjustRightInd w:val="0"/>
              <w:rPr>
                <w:sz w:val="21"/>
                <w:szCs w:val="21"/>
              </w:rPr>
            </w:pPr>
            <w:r>
              <w:rPr>
                <w:sz w:val="21"/>
                <w:szCs w:val="21"/>
              </w:rPr>
              <w:t>Clear explanation of current inflation protection, offered reduction of protection, demonstration of effect on premiums and coverage over at least three years (also see Partnership section below).</w:t>
            </w:r>
          </w:p>
        </w:tc>
        <w:tc>
          <w:tcPr>
            <w:tcW w:w="1376" w:type="dxa"/>
          </w:tcPr>
          <w:p w14:paraId="4FF3414B" w14:textId="77777777" w:rsidR="00CC61D1" w:rsidRPr="00A0019E" w:rsidRDefault="00CC61D1" w:rsidP="00D85BAE">
            <w:pPr>
              <w:rPr>
                <w:sz w:val="21"/>
                <w:szCs w:val="21"/>
              </w:rPr>
            </w:pPr>
          </w:p>
        </w:tc>
      </w:tr>
      <w:tr w:rsidR="00D85BAE" w:rsidRPr="00A0019E" w14:paraId="3C88A0FE" w14:textId="77777777" w:rsidTr="008A0525">
        <w:tc>
          <w:tcPr>
            <w:tcW w:w="1174" w:type="dxa"/>
          </w:tcPr>
          <w:p w14:paraId="64B964B1" w14:textId="2C237B6F" w:rsidR="00D85BAE" w:rsidRPr="00A0019E" w:rsidRDefault="00BA3179" w:rsidP="00D85BAE">
            <w:pPr>
              <w:rPr>
                <w:sz w:val="21"/>
                <w:szCs w:val="21"/>
              </w:rPr>
            </w:pPr>
            <w:r w:rsidRPr="00A0019E">
              <w:rPr>
                <w:sz w:val="21"/>
                <w:szCs w:val="21"/>
              </w:rPr>
              <w:sym w:font="Wingdings" w:char="F06F"/>
            </w:r>
          </w:p>
        </w:tc>
        <w:tc>
          <w:tcPr>
            <w:tcW w:w="2338" w:type="dxa"/>
          </w:tcPr>
          <w:p w14:paraId="3758D7A8" w14:textId="77777777" w:rsidR="00D85BAE" w:rsidRPr="00A0019E" w:rsidRDefault="00D85BAE" w:rsidP="00D85BAE">
            <w:pPr>
              <w:rPr>
                <w:sz w:val="21"/>
                <w:szCs w:val="21"/>
              </w:rPr>
            </w:pPr>
            <w:r>
              <w:rPr>
                <w:sz w:val="21"/>
                <w:szCs w:val="21"/>
              </w:rPr>
              <w:t>Instructions to elect options</w:t>
            </w:r>
          </w:p>
        </w:tc>
        <w:tc>
          <w:tcPr>
            <w:tcW w:w="1387" w:type="dxa"/>
            <w:shd w:val="clear" w:color="auto" w:fill="FFFFFF" w:themeFill="background1"/>
          </w:tcPr>
          <w:p w14:paraId="66561D73" w14:textId="1C0FDC66" w:rsidR="00D85BAE" w:rsidRPr="00A0019E" w:rsidRDefault="00DA5698" w:rsidP="00D85BAE">
            <w:pPr>
              <w:rPr>
                <w:sz w:val="21"/>
                <w:szCs w:val="21"/>
              </w:rPr>
            </w:pPr>
            <w:r>
              <w:rPr>
                <w:sz w:val="21"/>
                <w:szCs w:val="21"/>
              </w:rPr>
              <w:t>NE Filing Requirement</w:t>
            </w:r>
          </w:p>
        </w:tc>
        <w:tc>
          <w:tcPr>
            <w:tcW w:w="3075" w:type="dxa"/>
          </w:tcPr>
          <w:p w14:paraId="10B4A151" w14:textId="1D9E4F7B" w:rsidR="00D85BAE" w:rsidRPr="00A0019E" w:rsidRDefault="00D85BAE" w:rsidP="00D85BAE">
            <w:pPr>
              <w:rPr>
                <w:rFonts w:cstheme="minorHAnsi"/>
                <w:sz w:val="21"/>
                <w:szCs w:val="21"/>
              </w:rPr>
            </w:pPr>
            <w:r>
              <w:rPr>
                <w:sz w:val="21"/>
                <w:szCs w:val="21"/>
              </w:rPr>
              <w:t>Instructions on election process with contact information for help in the election process.</w:t>
            </w:r>
            <w:r w:rsidR="00C80B67">
              <w:rPr>
                <w:sz w:val="21"/>
                <w:szCs w:val="21"/>
              </w:rPr>
              <w:t xml:space="preserve">  Explain that if a policyholder wants to wait to decide whether to elect, policyholder should keep in mind any expiration on the option and must pay the increased premium while evaluating the options, otherwise the policy will lapse.</w:t>
            </w:r>
          </w:p>
        </w:tc>
        <w:tc>
          <w:tcPr>
            <w:tcW w:w="1376" w:type="dxa"/>
          </w:tcPr>
          <w:p w14:paraId="7C9D6069" w14:textId="77777777" w:rsidR="00D85BAE" w:rsidRPr="00A0019E" w:rsidRDefault="00D85BAE" w:rsidP="00D85BAE">
            <w:pPr>
              <w:rPr>
                <w:sz w:val="21"/>
                <w:szCs w:val="21"/>
              </w:rPr>
            </w:pPr>
          </w:p>
        </w:tc>
      </w:tr>
      <w:tr w:rsidR="00D85BAE" w:rsidRPr="00A0019E" w14:paraId="51DC806C" w14:textId="77777777" w:rsidTr="008A0525">
        <w:tc>
          <w:tcPr>
            <w:tcW w:w="1174" w:type="dxa"/>
          </w:tcPr>
          <w:p w14:paraId="60950C0F" w14:textId="6843173B" w:rsidR="00D85BAE" w:rsidRPr="00A0019E" w:rsidRDefault="00BA3179" w:rsidP="00D85BAE">
            <w:pPr>
              <w:rPr>
                <w:sz w:val="21"/>
                <w:szCs w:val="21"/>
              </w:rPr>
            </w:pPr>
            <w:r w:rsidRPr="00A0019E">
              <w:rPr>
                <w:sz w:val="21"/>
                <w:szCs w:val="21"/>
              </w:rPr>
              <w:sym w:font="Wingdings" w:char="F06F"/>
            </w:r>
          </w:p>
        </w:tc>
        <w:tc>
          <w:tcPr>
            <w:tcW w:w="2338" w:type="dxa"/>
          </w:tcPr>
          <w:p w14:paraId="50FC88D8" w14:textId="77777777" w:rsidR="00D85BAE" w:rsidRPr="00A0019E" w:rsidRDefault="00D85BAE" w:rsidP="00D85BAE">
            <w:pPr>
              <w:rPr>
                <w:sz w:val="21"/>
                <w:szCs w:val="21"/>
              </w:rPr>
            </w:pPr>
            <w:r>
              <w:rPr>
                <w:sz w:val="21"/>
                <w:szCs w:val="21"/>
              </w:rPr>
              <w:t>Expiration date for election options</w:t>
            </w:r>
          </w:p>
        </w:tc>
        <w:tc>
          <w:tcPr>
            <w:tcW w:w="1387" w:type="dxa"/>
          </w:tcPr>
          <w:p w14:paraId="031AA7CE" w14:textId="3B15EFFA" w:rsidR="00D85BAE" w:rsidRPr="00A0019E" w:rsidRDefault="00DA5698" w:rsidP="00D85BAE">
            <w:pPr>
              <w:rPr>
                <w:rFonts w:cstheme="minorHAnsi"/>
                <w:sz w:val="21"/>
                <w:szCs w:val="21"/>
              </w:rPr>
            </w:pPr>
            <w:r>
              <w:rPr>
                <w:sz w:val="21"/>
                <w:szCs w:val="21"/>
              </w:rPr>
              <w:t>NE Filing Requirement</w:t>
            </w:r>
          </w:p>
        </w:tc>
        <w:tc>
          <w:tcPr>
            <w:tcW w:w="3075" w:type="dxa"/>
          </w:tcPr>
          <w:p w14:paraId="30A43B71" w14:textId="77777777" w:rsidR="00D85BAE" w:rsidRPr="00A0019E" w:rsidRDefault="00D85BAE" w:rsidP="00D85BAE">
            <w:pPr>
              <w:rPr>
                <w:sz w:val="21"/>
                <w:szCs w:val="21"/>
              </w:rPr>
            </w:pPr>
            <w:r>
              <w:rPr>
                <w:sz w:val="21"/>
                <w:szCs w:val="21"/>
              </w:rPr>
              <w:t>Expiration date for election options must be clearly stated</w:t>
            </w:r>
            <w:r w:rsidR="00CC61D1">
              <w:rPr>
                <w:sz w:val="21"/>
                <w:szCs w:val="21"/>
              </w:rPr>
              <w:t xml:space="preserve"> (either a date in the future or </w:t>
            </w:r>
            <w:proofErr w:type="gramStart"/>
            <w:r w:rsidR="00CC61D1">
              <w:rPr>
                <w:sz w:val="21"/>
                <w:szCs w:val="21"/>
              </w:rPr>
              <w:t>a number of</w:t>
            </w:r>
            <w:proofErr w:type="gramEnd"/>
            <w:r w:rsidR="00CC61D1">
              <w:rPr>
                <w:sz w:val="21"/>
                <w:szCs w:val="21"/>
              </w:rPr>
              <w:t xml:space="preserve"> days from a trigger, e.g., date on the letter)</w:t>
            </w:r>
            <w:r>
              <w:rPr>
                <w:sz w:val="21"/>
                <w:szCs w:val="21"/>
              </w:rPr>
              <w:t>.</w:t>
            </w:r>
          </w:p>
        </w:tc>
        <w:tc>
          <w:tcPr>
            <w:tcW w:w="1376" w:type="dxa"/>
          </w:tcPr>
          <w:p w14:paraId="27891AF9" w14:textId="77777777" w:rsidR="00D85BAE" w:rsidRPr="00A0019E" w:rsidRDefault="00D85BAE" w:rsidP="00D85BAE">
            <w:pPr>
              <w:rPr>
                <w:sz w:val="21"/>
                <w:szCs w:val="21"/>
              </w:rPr>
            </w:pPr>
          </w:p>
        </w:tc>
      </w:tr>
      <w:tr w:rsidR="005C7183" w:rsidRPr="00A0019E" w14:paraId="52B0D235" w14:textId="77777777" w:rsidTr="008A0525">
        <w:tc>
          <w:tcPr>
            <w:tcW w:w="1174" w:type="dxa"/>
          </w:tcPr>
          <w:p w14:paraId="13379165" w14:textId="70DF1E54" w:rsidR="005C7183" w:rsidRPr="00A0019E" w:rsidRDefault="00BA3179" w:rsidP="005C7183">
            <w:pPr>
              <w:rPr>
                <w:sz w:val="21"/>
                <w:szCs w:val="21"/>
              </w:rPr>
            </w:pPr>
            <w:r w:rsidRPr="00A0019E">
              <w:rPr>
                <w:sz w:val="21"/>
                <w:szCs w:val="21"/>
              </w:rPr>
              <w:lastRenderedPageBreak/>
              <w:sym w:font="Wingdings" w:char="F06F"/>
            </w:r>
          </w:p>
        </w:tc>
        <w:tc>
          <w:tcPr>
            <w:tcW w:w="2338" w:type="dxa"/>
          </w:tcPr>
          <w:p w14:paraId="55D18138" w14:textId="77777777" w:rsidR="005C7183" w:rsidRDefault="005C7183" w:rsidP="005C7183">
            <w:pPr>
              <w:rPr>
                <w:sz w:val="21"/>
                <w:szCs w:val="21"/>
              </w:rPr>
            </w:pPr>
            <w:r>
              <w:rPr>
                <w:sz w:val="21"/>
                <w:szCs w:val="21"/>
              </w:rPr>
              <w:t>Language used for options</w:t>
            </w:r>
          </w:p>
        </w:tc>
        <w:tc>
          <w:tcPr>
            <w:tcW w:w="1387" w:type="dxa"/>
          </w:tcPr>
          <w:p w14:paraId="61571DA7" w14:textId="21090202" w:rsidR="005C7183" w:rsidRPr="00A0019E" w:rsidRDefault="00DA5698" w:rsidP="005C7183">
            <w:pPr>
              <w:rPr>
                <w:rFonts w:cstheme="minorHAnsi"/>
                <w:sz w:val="21"/>
                <w:szCs w:val="21"/>
              </w:rPr>
            </w:pPr>
            <w:r>
              <w:rPr>
                <w:sz w:val="21"/>
                <w:szCs w:val="21"/>
              </w:rPr>
              <w:t>NE Filing Requirement</w:t>
            </w:r>
          </w:p>
        </w:tc>
        <w:tc>
          <w:tcPr>
            <w:tcW w:w="3075" w:type="dxa"/>
          </w:tcPr>
          <w:p w14:paraId="6619877A" w14:textId="77777777" w:rsidR="005C7183" w:rsidRDefault="005C7183" w:rsidP="005C7183">
            <w:pPr>
              <w:rPr>
                <w:sz w:val="21"/>
                <w:szCs w:val="21"/>
              </w:rPr>
            </w:pPr>
            <w:r>
              <w:rPr>
                <w:sz w:val="21"/>
                <w:szCs w:val="21"/>
              </w:rPr>
              <w:t>Prohibited language – cannot use “avoid” the increase – nobody receiving a rate change notification letter can avoid the action</w:t>
            </w:r>
          </w:p>
        </w:tc>
        <w:tc>
          <w:tcPr>
            <w:tcW w:w="1376" w:type="dxa"/>
          </w:tcPr>
          <w:p w14:paraId="7C6F3E2A" w14:textId="77777777" w:rsidR="005C7183" w:rsidRPr="00A0019E" w:rsidRDefault="005C7183" w:rsidP="005C7183">
            <w:pPr>
              <w:rPr>
                <w:sz w:val="21"/>
                <w:szCs w:val="21"/>
              </w:rPr>
            </w:pPr>
          </w:p>
        </w:tc>
      </w:tr>
      <w:tr w:rsidR="005C7183" w:rsidRPr="00A0019E" w14:paraId="5ACB2138" w14:textId="77777777" w:rsidTr="008A0525">
        <w:tc>
          <w:tcPr>
            <w:tcW w:w="1174" w:type="dxa"/>
          </w:tcPr>
          <w:p w14:paraId="647D2C52" w14:textId="3A9B6BEF" w:rsidR="005C7183" w:rsidRPr="00A0019E" w:rsidRDefault="00BA3179" w:rsidP="005C7183">
            <w:pPr>
              <w:rPr>
                <w:sz w:val="21"/>
                <w:szCs w:val="21"/>
              </w:rPr>
            </w:pPr>
            <w:r w:rsidRPr="00A0019E">
              <w:rPr>
                <w:sz w:val="21"/>
                <w:szCs w:val="21"/>
              </w:rPr>
              <w:sym w:font="Wingdings" w:char="F06F"/>
            </w:r>
          </w:p>
        </w:tc>
        <w:tc>
          <w:tcPr>
            <w:tcW w:w="2338" w:type="dxa"/>
          </w:tcPr>
          <w:p w14:paraId="311A234D" w14:textId="77777777" w:rsidR="005C7183" w:rsidRDefault="005C7183" w:rsidP="005C7183">
            <w:pPr>
              <w:rPr>
                <w:sz w:val="21"/>
                <w:szCs w:val="21"/>
              </w:rPr>
            </w:pPr>
            <w:r>
              <w:rPr>
                <w:sz w:val="21"/>
                <w:szCs w:val="21"/>
              </w:rPr>
              <w:t>No benefit reduction option can be more prevalent or emphasized than another</w:t>
            </w:r>
          </w:p>
        </w:tc>
        <w:tc>
          <w:tcPr>
            <w:tcW w:w="1387" w:type="dxa"/>
          </w:tcPr>
          <w:p w14:paraId="52C90ED3" w14:textId="49AE8F0D" w:rsidR="005C7183" w:rsidRPr="00A0019E" w:rsidRDefault="00DA5698" w:rsidP="005C7183">
            <w:pPr>
              <w:rPr>
                <w:rFonts w:cstheme="minorHAnsi"/>
                <w:sz w:val="21"/>
                <w:szCs w:val="21"/>
              </w:rPr>
            </w:pPr>
            <w:r>
              <w:rPr>
                <w:sz w:val="21"/>
                <w:szCs w:val="21"/>
              </w:rPr>
              <w:t>NE Filing Requirement</w:t>
            </w:r>
          </w:p>
        </w:tc>
        <w:tc>
          <w:tcPr>
            <w:tcW w:w="3075" w:type="dxa"/>
          </w:tcPr>
          <w:p w14:paraId="064A83EE" w14:textId="77777777" w:rsidR="005C7183" w:rsidRDefault="005C7183" w:rsidP="005C7183">
            <w:pPr>
              <w:rPr>
                <w:sz w:val="21"/>
                <w:szCs w:val="21"/>
              </w:rPr>
            </w:pPr>
            <w:r>
              <w:rPr>
                <w:sz w:val="21"/>
                <w:szCs w:val="21"/>
              </w:rPr>
              <w:t>If any benefit reduction is in bold or in a bulleted list, all of them should be.  No benefit reduction items should be repeated more than once in a letter unless all of them are repeated the same number of times.</w:t>
            </w:r>
          </w:p>
        </w:tc>
        <w:tc>
          <w:tcPr>
            <w:tcW w:w="1376" w:type="dxa"/>
          </w:tcPr>
          <w:p w14:paraId="73B3FBAD" w14:textId="77777777" w:rsidR="005C7183" w:rsidRPr="00A0019E" w:rsidRDefault="005C7183" w:rsidP="005C7183">
            <w:pPr>
              <w:rPr>
                <w:sz w:val="21"/>
                <w:szCs w:val="21"/>
              </w:rPr>
            </w:pPr>
          </w:p>
        </w:tc>
      </w:tr>
      <w:tr w:rsidR="005C7183" w:rsidRPr="00A0019E" w14:paraId="1A128A11" w14:textId="77777777" w:rsidTr="008A0525">
        <w:tc>
          <w:tcPr>
            <w:tcW w:w="1174" w:type="dxa"/>
          </w:tcPr>
          <w:p w14:paraId="3DC64779" w14:textId="77888D8E" w:rsidR="005C7183" w:rsidRPr="00A0019E" w:rsidRDefault="00BA3179" w:rsidP="005C7183">
            <w:pPr>
              <w:rPr>
                <w:sz w:val="21"/>
                <w:szCs w:val="21"/>
              </w:rPr>
            </w:pPr>
            <w:r w:rsidRPr="00A0019E">
              <w:rPr>
                <w:sz w:val="21"/>
                <w:szCs w:val="21"/>
              </w:rPr>
              <w:sym w:font="Wingdings" w:char="F06F"/>
            </w:r>
          </w:p>
        </w:tc>
        <w:tc>
          <w:tcPr>
            <w:tcW w:w="2338" w:type="dxa"/>
          </w:tcPr>
          <w:p w14:paraId="7AB0B689" w14:textId="77777777" w:rsidR="005C7183" w:rsidRDefault="005C7183" w:rsidP="005C7183">
            <w:pPr>
              <w:rPr>
                <w:sz w:val="21"/>
                <w:szCs w:val="21"/>
              </w:rPr>
            </w:pPr>
            <w:r>
              <w:rPr>
                <w:sz w:val="21"/>
                <w:szCs w:val="21"/>
              </w:rPr>
              <w:t>Change Request Form or Insert</w:t>
            </w:r>
          </w:p>
        </w:tc>
        <w:tc>
          <w:tcPr>
            <w:tcW w:w="1387" w:type="dxa"/>
          </w:tcPr>
          <w:p w14:paraId="68578DD8" w14:textId="749E5BA6" w:rsidR="005C7183" w:rsidRPr="00A0019E" w:rsidRDefault="00DA5698" w:rsidP="005C7183">
            <w:pPr>
              <w:rPr>
                <w:rFonts w:cstheme="minorHAnsi"/>
                <w:sz w:val="21"/>
                <w:szCs w:val="21"/>
              </w:rPr>
            </w:pPr>
            <w:r>
              <w:rPr>
                <w:sz w:val="21"/>
                <w:szCs w:val="21"/>
              </w:rPr>
              <w:t>NE Filing Requirement</w:t>
            </w:r>
          </w:p>
        </w:tc>
        <w:tc>
          <w:tcPr>
            <w:tcW w:w="3075" w:type="dxa"/>
          </w:tcPr>
          <w:p w14:paraId="01E97CDA" w14:textId="77777777" w:rsidR="005C7183" w:rsidRDefault="005C7183" w:rsidP="005C7183">
            <w:pPr>
              <w:rPr>
                <w:sz w:val="21"/>
                <w:szCs w:val="21"/>
              </w:rPr>
            </w:pPr>
            <w:r>
              <w:rPr>
                <w:sz w:val="21"/>
                <w:szCs w:val="21"/>
              </w:rPr>
              <w:t>Any change request form requiring the customer’s signature should include all reduced benefit options mentioned in the notification letter and instructions that the form does not have to be returned if the increase and no reduced benefit are chosen.  It should also be clear that if Contingent Nonforfeiture is available, it will be automatically applied if a premium payment is missed in the given time period (usually 120 days beyond the increase date) – grace periods in the contract should apply to this benefit being preserved – such as you can’t force CNFB on day 121 if the consumer is in a grace period and pays the missed premium</w:t>
            </w:r>
          </w:p>
        </w:tc>
        <w:tc>
          <w:tcPr>
            <w:tcW w:w="1376" w:type="dxa"/>
          </w:tcPr>
          <w:p w14:paraId="75676174" w14:textId="77777777" w:rsidR="005C7183" w:rsidRPr="00A0019E" w:rsidRDefault="005C7183" w:rsidP="005C7183">
            <w:pPr>
              <w:rPr>
                <w:sz w:val="21"/>
                <w:szCs w:val="21"/>
              </w:rPr>
            </w:pPr>
          </w:p>
        </w:tc>
      </w:tr>
      <w:tr w:rsidR="00D85BAE" w:rsidRPr="00A0019E" w14:paraId="0976E7FF" w14:textId="77777777" w:rsidTr="008A0525">
        <w:tc>
          <w:tcPr>
            <w:tcW w:w="1174" w:type="dxa"/>
          </w:tcPr>
          <w:p w14:paraId="5447805F" w14:textId="4CAB89B4" w:rsidR="00D85BAE" w:rsidRPr="00A0019E" w:rsidRDefault="00BA3179" w:rsidP="00D85BAE">
            <w:pPr>
              <w:rPr>
                <w:rFonts w:cstheme="minorHAnsi"/>
                <w:sz w:val="21"/>
                <w:szCs w:val="21"/>
              </w:rPr>
            </w:pPr>
            <w:r w:rsidRPr="00A0019E">
              <w:rPr>
                <w:sz w:val="21"/>
                <w:szCs w:val="21"/>
              </w:rPr>
              <w:sym w:font="Wingdings" w:char="F06F"/>
            </w:r>
          </w:p>
        </w:tc>
        <w:tc>
          <w:tcPr>
            <w:tcW w:w="2338" w:type="dxa"/>
          </w:tcPr>
          <w:p w14:paraId="5614A051" w14:textId="77777777" w:rsidR="00D85BAE" w:rsidRPr="00A0019E" w:rsidRDefault="00D85BAE" w:rsidP="00D85BAE">
            <w:pPr>
              <w:rPr>
                <w:rFonts w:cstheme="minorHAnsi"/>
                <w:sz w:val="21"/>
                <w:szCs w:val="21"/>
              </w:rPr>
            </w:pPr>
            <w:r>
              <w:rPr>
                <w:sz w:val="21"/>
                <w:szCs w:val="21"/>
              </w:rPr>
              <w:t>Contact information</w:t>
            </w:r>
          </w:p>
        </w:tc>
        <w:tc>
          <w:tcPr>
            <w:tcW w:w="1387" w:type="dxa"/>
          </w:tcPr>
          <w:p w14:paraId="70571B2A" w14:textId="1740F5D0" w:rsidR="00D85BAE" w:rsidRPr="00A0019E" w:rsidRDefault="00DA5698" w:rsidP="00D85BAE">
            <w:pPr>
              <w:rPr>
                <w:rFonts w:cstheme="minorHAnsi"/>
                <w:sz w:val="21"/>
                <w:szCs w:val="21"/>
              </w:rPr>
            </w:pPr>
            <w:r>
              <w:rPr>
                <w:sz w:val="21"/>
                <w:szCs w:val="21"/>
              </w:rPr>
              <w:t>NE Filing Requirement</w:t>
            </w:r>
          </w:p>
        </w:tc>
        <w:tc>
          <w:tcPr>
            <w:tcW w:w="3075" w:type="dxa"/>
          </w:tcPr>
          <w:p w14:paraId="58BA0EFF" w14:textId="77777777" w:rsidR="00D85BAE" w:rsidRPr="00A0019E" w:rsidRDefault="00D85BAE" w:rsidP="00D85BAE">
            <w:pPr>
              <w:rPr>
                <w:sz w:val="21"/>
                <w:szCs w:val="21"/>
              </w:rPr>
            </w:pPr>
            <w:r>
              <w:rPr>
                <w:sz w:val="21"/>
                <w:szCs w:val="21"/>
              </w:rPr>
              <w:t xml:space="preserve">Company </w:t>
            </w:r>
            <w:proofErr w:type="gramStart"/>
            <w:r>
              <w:rPr>
                <w:sz w:val="21"/>
                <w:szCs w:val="21"/>
              </w:rPr>
              <w:t>contact</w:t>
            </w:r>
            <w:proofErr w:type="gramEnd"/>
            <w:r>
              <w:rPr>
                <w:sz w:val="21"/>
                <w:szCs w:val="21"/>
              </w:rPr>
              <w:t xml:space="preserve"> for insureds to seek information on additional options.</w:t>
            </w:r>
            <w:r w:rsidR="008A1E1C">
              <w:rPr>
                <w:sz w:val="21"/>
                <w:szCs w:val="21"/>
              </w:rPr>
              <w:t xml:space="preserve"> Customer service phone number and web address.</w:t>
            </w:r>
          </w:p>
        </w:tc>
        <w:tc>
          <w:tcPr>
            <w:tcW w:w="1376" w:type="dxa"/>
          </w:tcPr>
          <w:p w14:paraId="74DE2679" w14:textId="77777777" w:rsidR="00D85BAE" w:rsidRPr="00A0019E" w:rsidRDefault="00D85BAE" w:rsidP="00D85BAE">
            <w:pPr>
              <w:rPr>
                <w:sz w:val="21"/>
                <w:szCs w:val="21"/>
              </w:rPr>
            </w:pPr>
          </w:p>
        </w:tc>
      </w:tr>
      <w:tr w:rsidR="001142D4" w:rsidRPr="00A0019E" w14:paraId="7E6D595E" w14:textId="77777777" w:rsidTr="008A0525">
        <w:trPr>
          <w:trHeight w:val="683"/>
        </w:trPr>
        <w:tc>
          <w:tcPr>
            <w:tcW w:w="1174" w:type="dxa"/>
          </w:tcPr>
          <w:p w14:paraId="33ADFD13" w14:textId="6BCEA7D0" w:rsidR="001142D4" w:rsidRPr="00A0019E" w:rsidRDefault="00BA3179" w:rsidP="00D85BAE">
            <w:pPr>
              <w:rPr>
                <w:sz w:val="21"/>
                <w:szCs w:val="21"/>
              </w:rPr>
            </w:pPr>
            <w:r w:rsidRPr="00A0019E">
              <w:rPr>
                <w:sz w:val="21"/>
                <w:szCs w:val="21"/>
              </w:rPr>
              <w:sym w:font="Wingdings" w:char="F06F"/>
            </w:r>
          </w:p>
        </w:tc>
        <w:tc>
          <w:tcPr>
            <w:tcW w:w="2338" w:type="dxa"/>
          </w:tcPr>
          <w:p w14:paraId="34D28CFC" w14:textId="77777777" w:rsidR="001142D4" w:rsidRDefault="001142D4" w:rsidP="00D85BAE">
            <w:pPr>
              <w:rPr>
                <w:sz w:val="21"/>
                <w:szCs w:val="21"/>
              </w:rPr>
            </w:pPr>
            <w:r>
              <w:rPr>
                <w:sz w:val="21"/>
                <w:szCs w:val="21"/>
              </w:rPr>
              <w:t>Actuarial value disclosure language</w:t>
            </w:r>
          </w:p>
        </w:tc>
        <w:tc>
          <w:tcPr>
            <w:tcW w:w="1387" w:type="dxa"/>
          </w:tcPr>
          <w:p w14:paraId="0C776A2E" w14:textId="10B48D00" w:rsidR="001142D4" w:rsidRDefault="00DA5698" w:rsidP="00D85BAE">
            <w:pPr>
              <w:rPr>
                <w:rStyle w:val="Hyperlink"/>
                <w:rFonts w:cs="Arial"/>
                <w:sz w:val="21"/>
                <w:szCs w:val="21"/>
              </w:rPr>
            </w:pPr>
            <w:r>
              <w:rPr>
                <w:sz w:val="21"/>
                <w:szCs w:val="21"/>
              </w:rPr>
              <w:t>NE Filing Requirement</w:t>
            </w:r>
          </w:p>
        </w:tc>
        <w:tc>
          <w:tcPr>
            <w:tcW w:w="3075" w:type="dxa"/>
          </w:tcPr>
          <w:p w14:paraId="5C3116E3" w14:textId="77777777" w:rsidR="001142D4" w:rsidRPr="008A1E1C" w:rsidRDefault="001142D4" w:rsidP="00D85BAE">
            <w:pPr>
              <w:rPr>
                <w:sz w:val="21"/>
                <w:szCs w:val="21"/>
              </w:rPr>
            </w:pPr>
            <w:r>
              <w:rPr>
                <w:sz w:val="21"/>
                <w:szCs w:val="21"/>
              </w:rPr>
              <w:t>If all options are not of equal actuarial value, then a disclosure should be included stating, “Options may not be of equal value – each option should be viewed as to whether it is appropriate to the individual’s needs.”</w:t>
            </w:r>
          </w:p>
        </w:tc>
        <w:tc>
          <w:tcPr>
            <w:tcW w:w="1376" w:type="dxa"/>
          </w:tcPr>
          <w:p w14:paraId="6247FACC" w14:textId="77777777" w:rsidR="001142D4" w:rsidRPr="00A0019E" w:rsidRDefault="001142D4" w:rsidP="00D85BAE">
            <w:pPr>
              <w:rPr>
                <w:sz w:val="21"/>
                <w:szCs w:val="21"/>
              </w:rPr>
            </w:pPr>
          </w:p>
        </w:tc>
      </w:tr>
      <w:tr w:rsidR="008D46B5" w:rsidRPr="00A0019E" w14:paraId="1D78E337" w14:textId="77777777" w:rsidTr="00A43C25">
        <w:trPr>
          <w:trHeight w:val="503"/>
        </w:trPr>
        <w:tc>
          <w:tcPr>
            <w:tcW w:w="1174" w:type="dxa"/>
          </w:tcPr>
          <w:p w14:paraId="280D585F" w14:textId="7208C634" w:rsidR="008D46B5" w:rsidRPr="00A0019E" w:rsidRDefault="00BA3179" w:rsidP="008D46B5">
            <w:pPr>
              <w:rPr>
                <w:sz w:val="21"/>
                <w:szCs w:val="21"/>
              </w:rPr>
            </w:pPr>
            <w:r w:rsidRPr="00A0019E">
              <w:rPr>
                <w:sz w:val="21"/>
                <w:szCs w:val="21"/>
              </w:rPr>
              <w:sym w:font="Wingdings" w:char="F06F"/>
            </w:r>
          </w:p>
        </w:tc>
        <w:tc>
          <w:tcPr>
            <w:tcW w:w="2338" w:type="dxa"/>
          </w:tcPr>
          <w:p w14:paraId="23040F67" w14:textId="7A656060" w:rsidR="008D46B5" w:rsidRDefault="008D46B5" w:rsidP="003F6CBE">
            <w:pPr>
              <w:rPr>
                <w:sz w:val="21"/>
                <w:szCs w:val="21"/>
              </w:rPr>
            </w:pPr>
            <w:r>
              <w:rPr>
                <w:sz w:val="21"/>
                <w:szCs w:val="21"/>
              </w:rPr>
              <w:t>Demonstration of new benefits</w:t>
            </w:r>
            <w:r w:rsidR="003F6CBE">
              <w:rPr>
                <w:sz w:val="21"/>
                <w:szCs w:val="21"/>
              </w:rPr>
              <w:t xml:space="preserve"> </w:t>
            </w:r>
          </w:p>
        </w:tc>
        <w:tc>
          <w:tcPr>
            <w:tcW w:w="1387" w:type="dxa"/>
          </w:tcPr>
          <w:p w14:paraId="6DCFA28E" w14:textId="4B8A8718" w:rsidR="008D46B5" w:rsidRDefault="00DA5698" w:rsidP="008D46B5">
            <w:pPr>
              <w:rPr>
                <w:rStyle w:val="Hyperlink"/>
                <w:rFonts w:cs="Arial"/>
                <w:sz w:val="21"/>
                <w:szCs w:val="21"/>
              </w:rPr>
            </w:pPr>
            <w:r>
              <w:rPr>
                <w:sz w:val="21"/>
                <w:szCs w:val="21"/>
              </w:rPr>
              <w:t>NE Filing Requirement</w:t>
            </w:r>
          </w:p>
        </w:tc>
        <w:tc>
          <w:tcPr>
            <w:tcW w:w="3075" w:type="dxa"/>
          </w:tcPr>
          <w:p w14:paraId="519C0E02" w14:textId="504114E9" w:rsidR="008D46B5" w:rsidRDefault="008D46B5" w:rsidP="008D46B5">
            <w:pPr>
              <w:rPr>
                <w:sz w:val="21"/>
                <w:szCs w:val="21"/>
              </w:rPr>
            </w:pPr>
            <w:r>
              <w:rPr>
                <w:sz w:val="21"/>
                <w:szCs w:val="21"/>
              </w:rPr>
              <w:t xml:space="preserve">Detailed demonstration estimating new benefits and premium under each option </w:t>
            </w:r>
            <w:r>
              <w:rPr>
                <w:sz w:val="21"/>
                <w:szCs w:val="21"/>
              </w:rPr>
              <w:lastRenderedPageBreak/>
              <w:t>listed in the required bulleted list of options.</w:t>
            </w:r>
          </w:p>
        </w:tc>
        <w:tc>
          <w:tcPr>
            <w:tcW w:w="1376" w:type="dxa"/>
          </w:tcPr>
          <w:p w14:paraId="6AD23645" w14:textId="77777777" w:rsidR="008D46B5" w:rsidRPr="00A0019E" w:rsidRDefault="008D46B5" w:rsidP="008D46B5">
            <w:pPr>
              <w:rPr>
                <w:sz w:val="21"/>
                <w:szCs w:val="21"/>
              </w:rPr>
            </w:pPr>
          </w:p>
        </w:tc>
      </w:tr>
      <w:tr w:rsidR="00D85BAE" w:rsidRPr="00A0019E" w14:paraId="5118F38F" w14:textId="77777777" w:rsidTr="00C80848">
        <w:tc>
          <w:tcPr>
            <w:tcW w:w="1174" w:type="dxa"/>
            <w:shd w:val="clear" w:color="auto" w:fill="E7E6E6" w:themeFill="background2"/>
          </w:tcPr>
          <w:p w14:paraId="440A759E" w14:textId="77777777" w:rsidR="00D85BAE" w:rsidRPr="00A0019E" w:rsidRDefault="00D85BAE" w:rsidP="00D85BAE">
            <w:pPr>
              <w:rPr>
                <w:b/>
                <w:sz w:val="21"/>
                <w:szCs w:val="21"/>
              </w:rPr>
            </w:pPr>
          </w:p>
        </w:tc>
        <w:tc>
          <w:tcPr>
            <w:tcW w:w="8176" w:type="dxa"/>
            <w:gridSpan w:val="4"/>
            <w:shd w:val="clear" w:color="auto" w:fill="E7E6E6" w:themeFill="background2"/>
          </w:tcPr>
          <w:p w14:paraId="604EFBA6" w14:textId="57097D9B" w:rsidR="00D85BAE" w:rsidRPr="00211057" w:rsidRDefault="00211057" w:rsidP="00211057">
            <w:pPr>
              <w:rPr>
                <w:b/>
                <w:sz w:val="21"/>
                <w:szCs w:val="21"/>
              </w:rPr>
            </w:pPr>
            <w:r w:rsidRPr="00211057">
              <w:rPr>
                <w:b/>
                <w:sz w:val="21"/>
                <w:szCs w:val="21"/>
              </w:rPr>
              <w:t xml:space="preserve">CONTINGENT BENEFIT UPON LAPSE </w:t>
            </w:r>
            <w:r w:rsidR="00475058">
              <w:rPr>
                <w:b/>
                <w:sz w:val="21"/>
                <w:szCs w:val="21"/>
              </w:rPr>
              <w:t>AND NONFORFEITURE BENEFIT EXPLANATION</w:t>
            </w:r>
          </w:p>
        </w:tc>
      </w:tr>
      <w:tr w:rsidR="00211057" w:rsidRPr="00A0019E" w14:paraId="753CECF4" w14:textId="77777777" w:rsidTr="008A0525">
        <w:tc>
          <w:tcPr>
            <w:tcW w:w="1174" w:type="dxa"/>
            <w:shd w:val="clear" w:color="auto" w:fill="FFFFFF" w:themeFill="background1"/>
          </w:tcPr>
          <w:p w14:paraId="45449023" w14:textId="55A8AB9B" w:rsidR="00211057" w:rsidRPr="00A0019E" w:rsidRDefault="00BA3179" w:rsidP="00211057">
            <w:pPr>
              <w:rPr>
                <w:sz w:val="21"/>
                <w:szCs w:val="21"/>
              </w:rPr>
            </w:pPr>
            <w:r w:rsidRPr="00A0019E">
              <w:rPr>
                <w:sz w:val="21"/>
                <w:szCs w:val="21"/>
              </w:rPr>
              <w:sym w:font="Wingdings" w:char="F06F"/>
            </w:r>
          </w:p>
        </w:tc>
        <w:tc>
          <w:tcPr>
            <w:tcW w:w="2338" w:type="dxa"/>
            <w:shd w:val="clear" w:color="auto" w:fill="FFFFFF" w:themeFill="background1"/>
          </w:tcPr>
          <w:p w14:paraId="725A6AB9" w14:textId="77777777" w:rsidR="00211057" w:rsidRDefault="00211057" w:rsidP="00211057">
            <w:pPr>
              <w:rPr>
                <w:sz w:val="21"/>
                <w:szCs w:val="21"/>
              </w:rPr>
            </w:pPr>
            <w:r>
              <w:rPr>
                <w:sz w:val="21"/>
                <w:szCs w:val="21"/>
              </w:rPr>
              <w:t>Offer only if available</w:t>
            </w:r>
          </w:p>
        </w:tc>
        <w:tc>
          <w:tcPr>
            <w:tcW w:w="1387" w:type="dxa"/>
            <w:shd w:val="clear" w:color="auto" w:fill="FFFFFF" w:themeFill="background1"/>
          </w:tcPr>
          <w:p w14:paraId="11BD3D83" w14:textId="044AA9C3" w:rsidR="00211057" w:rsidRPr="00A0019E" w:rsidRDefault="00DA5698" w:rsidP="00211057">
            <w:pPr>
              <w:rPr>
                <w:sz w:val="21"/>
                <w:szCs w:val="21"/>
              </w:rPr>
            </w:pPr>
            <w:r>
              <w:rPr>
                <w:sz w:val="21"/>
                <w:szCs w:val="21"/>
              </w:rPr>
              <w:t>NE Filing Requirement</w:t>
            </w:r>
          </w:p>
        </w:tc>
        <w:tc>
          <w:tcPr>
            <w:tcW w:w="3075" w:type="dxa"/>
            <w:shd w:val="clear" w:color="auto" w:fill="FFFFFF" w:themeFill="background1"/>
          </w:tcPr>
          <w:p w14:paraId="23ED7946" w14:textId="77777777" w:rsidR="00211057" w:rsidRDefault="00211057" w:rsidP="00211057">
            <w:pPr>
              <w:rPr>
                <w:sz w:val="21"/>
                <w:szCs w:val="21"/>
              </w:rPr>
            </w:pPr>
            <w:r>
              <w:rPr>
                <w:sz w:val="21"/>
                <w:szCs w:val="21"/>
              </w:rPr>
              <w:t>CBL should only be included if applicable to the policyholder.</w:t>
            </w:r>
          </w:p>
          <w:p w14:paraId="68522C1F" w14:textId="77777777" w:rsidR="00CC61D1" w:rsidRDefault="00CC61D1" w:rsidP="00211057">
            <w:pPr>
              <w:rPr>
                <w:sz w:val="21"/>
                <w:szCs w:val="21"/>
              </w:rPr>
            </w:pPr>
            <w:r>
              <w:rPr>
                <w:sz w:val="21"/>
                <w:szCs w:val="21"/>
              </w:rPr>
              <w:t>CBL can either be bracketed to only be included if applicable to this policyholder, or two letters can be filed (one with CBL).</w:t>
            </w:r>
          </w:p>
        </w:tc>
        <w:tc>
          <w:tcPr>
            <w:tcW w:w="1376" w:type="dxa"/>
            <w:shd w:val="clear" w:color="auto" w:fill="FFFFFF" w:themeFill="background1"/>
          </w:tcPr>
          <w:p w14:paraId="33739C38" w14:textId="77777777" w:rsidR="00211057" w:rsidRPr="00A0019E" w:rsidRDefault="00211057" w:rsidP="00211057">
            <w:pPr>
              <w:rPr>
                <w:sz w:val="21"/>
                <w:szCs w:val="21"/>
              </w:rPr>
            </w:pPr>
          </w:p>
        </w:tc>
      </w:tr>
      <w:tr w:rsidR="00D85BAE" w:rsidRPr="00A0019E" w14:paraId="68A487B3" w14:textId="77777777" w:rsidTr="008A0525">
        <w:tc>
          <w:tcPr>
            <w:tcW w:w="1174" w:type="dxa"/>
            <w:shd w:val="clear" w:color="auto" w:fill="FFFFFF" w:themeFill="background1"/>
          </w:tcPr>
          <w:p w14:paraId="3D5B39F6" w14:textId="42CC36BF" w:rsidR="00D85BAE" w:rsidRPr="00A0019E" w:rsidRDefault="00BA3179" w:rsidP="00D85BAE">
            <w:pPr>
              <w:rPr>
                <w:sz w:val="21"/>
                <w:szCs w:val="21"/>
              </w:rPr>
            </w:pPr>
            <w:r w:rsidRPr="00A0019E">
              <w:rPr>
                <w:sz w:val="21"/>
                <w:szCs w:val="21"/>
              </w:rPr>
              <w:sym w:font="Wingdings" w:char="F06F"/>
            </w:r>
          </w:p>
        </w:tc>
        <w:tc>
          <w:tcPr>
            <w:tcW w:w="2338" w:type="dxa"/>
            <w:shd w:val="clear" w:color="auto" w:fill="FFFFFF" w:themeFill="background1"/>
          </w:tcPr>
          <w:p w14:paraId="6FCB6CCE" w14:textId="77777777" w:rsidR="00D85BAE" w:rsidRPr="00A0019E" w:rsidRDefault="00211057" w:rsidP="00D85BAE">
            <w:pPr>
              <w:rPr>
                <w:sz w:val="21"/>
                <w:szCs w:val="21"/>
              </w:rPr>
            </w:pPr>
            <w:r>
              <w:rPr>
                <w:sz w:val="21"/>
                <w:szCs w:val="21"/>
              </w:rPr>
              <w:t>Full approved increase considered for CBL trigger</w:t>
            </w:r>
          </w:p>
        </w:tc>
        <w:tc>
          <w:tcPr>
            <w:tcW w:w="1387" w:type="dxa"/>
            <w:shd w:val="clear" w:color="auto" w:fill="FFFFFF" w:themeFill="background1"/>
          </w:tcPr>
          <w:p w14:paraId="6A19FDE4" w14:textId="0557A198" w:rsidR="00D85BAE" w:rsidRPr="00A0019E" w:rsidRDefault="00DA5698" w:rsidP="00D85BAE">
            <w:pPr>
              <w:rPr>
                <w:sz w:val="21"/>
                <w:szCs w:val="21"/>
              </w:rPr>
            </w:pPr>
            <w:r>
              <w:rPr>
                <w:sz w:val="21"/>
                <w:szCs w:val="21"/>
              </w:rPr>
              <w:t>NE Filing Requirement</w:t>
            </w:r>
          </w:p>
        </w:tc>
        <w:tc>
          <w:tcPr>
            <w:tcW w:w="3075" w:type="dxa"/>
            <w:shd w:val="clear" w:color="auto" w:fill="FFFFFF" w:themeFill="background1"/>
          </w:tcPr>
          <w:p w14:paraId="022DF2C4" w14:textId="77777777" w:rsidR="00D85BAE" w:rsidRPr="00A0019E" w:rsidRDefault="00211057" w:rsidP="00D85BAE">
            <w:pPr>
              <w:rPr>
                <w:sz w:val="21"/>
                <w:szCs w:val="21"/>
              </w:rPr>
            </w:pPr>
            <w:r>
              <w:rPr>
                <w:sz w:val="21"/>
                <w:szCs w:val="21"/>
              </w:rPr>
              <w:t>If a phased-in increase is approved, the full increase is used to determine whether CBL is triggered at the time of each of the approved increases.</w:t>
            </w:r>
          </w:p>
        </w:tc>
        <w:tc>
          <w:tcPr>
            <w:tcW w:w="1376" w:type="dxa"/>
            <w:shd w:val="clear" w:color="auto" w:fill="FFFFFF" w:themeFill="background1"/>
          </w:tcPr>
          <w:p w14:paraId="37C70200" w14:textId="77777777" w:rsidR="00D85BAE" w:rsidRPr="00A0019E" w:rsidRDefault="00D85BAE" w:rsidP="00D85BAE">
            <w:pPr>
              <w:rPr>
                <w:sz w:val="21"/>
                <w:szCs w:val="21"/>
              </w:rPr>
            </w:pPr>
          </w:p>
        </w:tc>
      </w:tr>
      <w:tr w:rsidR="00211057" w:rsidRPr="00A0019E" w14:paraId="2E37CB80" w14:textId="77777777" w:rsidTr="008A0525">
        <w:tc>
          <w:tcPr>
            <w:tcW w:w="1174" w:type="dxa"/>
            <w:shd w:val="clear" w:color="auto" w:fill="FFFFFF" w:themeFill="background1"/>
          </w:tcPr>
          <w:p w14:paraId="0AF6DCBC" w14:textId="2F5D0445" w:rsidR="00211057" w:rsidRPr="00A0019E" w:rsidRDefault="00BA3179" w:rsidP="00211057">
            <w:pPr>
              <w:rPr>
                <w:sz w:val="21"/>
                <w:szCs w:val="21"/>
              </w:rPr>
            </w:pPr>
            <w:r w:rsidRPr="00A0019E">
              <w:rPr>
                <w:sz w:val="21"/>
                <w:szCs w:val="21"/>
              </w:rPr>
              <w:sym w:font="Wingdings" w:char="F06F"/>
            </w:r>
          </w:p>
        </w:tc>
        <w:tc>
          <w:tcPr>
            <w:tcW w:w="2338" w:type="dxa"/>
            <w:shd w:val="clear" w:color="auto" w:fill="FFFFFF" w:themeFill="background1"/>
          </w:tcPr>
          <w:p w14:paraId="3B7ED1B1" w14:textId="77777777" w:rsidR="00211057" w:rsidRDefault="00211057" w:rsidP="00211057">
            <w:pPr>
              <w:rPr>
                <w:sz w:val="21"/>
                <w:szCs w:val="21"/>
              </w:rPr>
            </w:pPr>
            <w:r>
              <w:rPr>
                <w:sz w:val="21"/>
                <w:szCs w:val="21"/>
              </w:rPr>
              <w:t>Description of CBL coverage and election period</w:t>
            </w:r>
          </w:p>
        </w:tc>
        <w:tc>
          <w:tcPr>
            <w:tcW w:w="1387" w:type="dxa"/>
            <w:shd w:val="clear" w:color="auto" w:fill="FFFFFF" w:themeFill="background1"/>
          </w:tcPr>
          <w:p w14:paraId="0B3F5263" w14:textId="77777777" w:rsidR="00211057" w:rsidRPr="00A0019E" w:rsidRDefault="009F1745" w:rsidP="00211057">
            <w:pPr>
              <w:rPr>
                <w:sz w:val="21"/>
                <w:szCs w:val="21"/>
              </w:rPr>
            </w:pPr>
            <w:r>
              <w:rPr>
                <w:sz w:val="21"/>
                <w:szCs w:val="21"/>
              </w:rPr>
              <w:t>210 NAC 46.023.04(D)</w:t>
            </w:r>
          </w:p>
        </w:tc>
        <w:tc>
          <w:tcPr>
            <w:tcW w:w="3075" w:type="dxa"/>
            <w:shd w:val="clear" w:color="auto" w:fill="FFFFFF" w:themeFill="background1"/>
          </w:tcPr>
          <w:p w14:paraId="174866B3" w14:textId="77777777" w:rsidR="00211057" w:rsidRDefault="00211057" w:rsidP="00211057">
            <w:pPr>
              <w:rPr>
                <w:sz w:val="21"/>
                <w:szCs w:val="21"/>
              </w:rPr>
            </w:pPr>
            <w:r>
              <w:rPr>
                <w:rFonts w:cstheme="minorHAnsi"/>
                <w:sz w:val="21"/>
                <w:szCs w:val="21"/>
              </w:rPr>
              <w:t xml:space="preserve">CBL should be explained and the election period </w:t>
            </w:r>
            <w:r w:rsidR="009F1745">
              <w:rPr>
                <w:rFonts w:cstheme="minorHAnsi"/>
                <w:sz w:val="21"/>
                <w:szCs w:val="21"/>
              </w:rPr>
              <w:t>(at least 120 days</w:t>
            </w:r>
            <w:r w:rsidR="005C7183">
              <w:rPr>
                <w:rFonts w:cstheme="minorHAnsi"/>
                <w:sz w:val="21"/>
                <w:szCs w:val="21"/>
              </w:rPr>
              <w:t xml:space="preserve"> after the effective date of the rate increase</w:t>
            </w:r>
            <w:r w:rsidR="009F1745">
              <w:rPr>
                <w:rFonts w:cstheme="minorHAnsi"/>
                <w:sz w:val="21"/>
                <w:szCs w:val="21"/>
              </w:rPr>
              <w:t xml:space="preserve">) </w:t>
            </w:r>
            <w:r>
              <w:rPr>
                <w:rFonts w:cstheme="minorHAnsi"/>
                <w:sz w:val="21"/>
                <w:szCs w:val="21"/>
              </w:rPr>
              <w:t>should be clearly stated.</w:t>
            </w:r>
          </w:p>
        </w:tc>
        <w:tc>
          <w:tcPr>
            <w:tcW w:w="1376" w:type="dxa"/>
            <w:shd w:val="clear" w:color="auto" w:fill="FFFFFF" w:themeFill="background1"/>
          </w:tcPr>
          <w:p w14:paraId="4F98A67C" w14:textId="77777777" w:rsidR="00211057" w:rsidRPr="00A0019E" w:rsidRDefault="00211057" w:rsidP="00211057">
            <w:pPr>
              <w:rPr>
                <w:sz w:val="21"/>
                <w:szCs w:val="21"/>
              </w:rPr>
            </w:pPr>
          </w:p>
        </w:tc>
      </w:tr>
      <w:tr w:rsidR="009F1745" w:rsidRPr="00A0019E" w14:paraId="3F7A4888" w14:textId="77777777" w:rsidTr="008A0525">
        <w:tc>
          <w:tcPr>
            <w:tcW w:w="1174" w:type="dxa"/>
            <w:shd w:val="clear" w:color="auto" w:fill="FFFFFF" w:themeFill="background1"/>
          </w:tcPr>
          <w:p w14:paraId="2D86A8EB" w14:textId="1E799E77" w:rsidR="009F1745" w:rsidRPr="00A0019E" w:rsidRDefault="00BA3179" w:rsidP="00211057">
            <w:pPr>
              <w:rPr>
                <w:sz w:val="21"/>
                <w:szCs w:val="21"/>
              </w:rPr>
            </w:pPr>
            <w:r w:rsidRPr="00A0019E">
              <w:rPr>
                <w:sz w:val="21"/>
                <w:szCs w:val="21"/>
              </w:rPr>
              <w:sym w:font="Wingdings" w:char="F06F"/>
            </w:r>
          </w:p>
        </w:tc>
        <w:tc>
          <w:tcPr>
            <w:tcW w:w="2338" w:type="dxa"/>
            <w:shd w:val="clear" w:color="auto" w:fill="FFFFFF" w:themeFill="background1"/>
          </w:tcPr>
          <w:p w14:paraId="220B1AC9" w14:textId="77777777" w:rsidR="009F1745" w:rsidRDefault="009F1745" w:rsidP="00211057">
            <w:pPr>
              <w:rPr>
                <w:sz w:val="21"/>
                <w:szCs w:val="21"/>
              </w:rPr>
            </w:pPr>
            <w:r>
              <w:rPr>
                <w:sz w:val="21"/>
                <w:szCs w:val="21"/>
              </w:rPr>
              <w:t>Effect of lapse during 120-day period</w:t>
            </w:r>
          </w:p>
        </w:tc>
        <w:tc>
          <w:tcPr>
            <w:tcW w:w="1387" w:type="dxa"/>
            <w:shd w:val="clear" w:color="auto" w:fill="FFFFFF" w:themeFill="background1"/>
          </w:tcPr>
          <w:p w14:paraId="1F0F5B93" w14:textId="7AD9F6AD" w:rsidR="009F1745" w:rsidRDefault="007B0AFB" w:rsidP="00211057">
            <w:pPr>
              <w:rPr>
                <w:sz w:val="21"/>
                <w:szCs w:val="21"/>
              </w:rPr>
            </w:pPr>
            <w:r>
              <w:rPr>
                <w:sz w:val="21"/>
                <w:szCs w:val="21"/>
              </w:rPr>
              <w:t>210 NAC 46.023.04(D)</w:t>
            </w:r>
          </w:p>
        </w:tc>
        <w:tc>
          <w:tcPr>
            <w:tcW w:w="3075" w:type="dxa"/>
            <w:shd w:val="clear" w:color="auto" w:fill="FFFFFF" w:themeFill="background1"/>
          </w:tcPr>
          <w:p w14:paraId="2B38E5FA" w14:textId="77777777" w:rsidR="009F1745" w:rsidRDefault="009F1745" w:rsidP="00211057">
            <w:pPr>
              <w:rPr>
                <w:rFonts w:cstheme="minorHAnsi"/>
                <w:sz w:val="21"/>
                <w:szCs w:val="21"/>
              </w:rPr>
            </w:pPr>
            <w:r>
              <w:rPr>
                <w:rFonts w:cstheme="minorHAnsi"/>
                <w:sz w:val="21"/>
                <w:szCs w:val="21"/>
              </w:rPr>
              <w:t>Notify policyholder that a default or lapse at any time during the 120-day period will be deemed to be election of the offer to convert to paid-up status.</w:t>
            </w:r>
          </w:p>
        </w:tc>
        <w:tc>
          <w:tcPr>
            <w:tcW w:w="1376" w:type="dxa"/>
            <w:shd w:val="clear" w:color="auto" w:fill="FFFFFF" w:themeFill="background1"/>
          </w:tcPr>
          <w:p w14:paraId="40DB7DEA" w14:textId="77777777" w:rsidR="009F1745" w:rsidRPr="00A0019E" w:rsidRDefault="009F1745" w:rsidP="00211057">
            <w:pPr>
              <w:rPr>
                <w:sz w:val="21"/>
                <w:szCs w:val="21"/>
              </w:rPr>
            </w:pPr>
          </w:p>
        </w:tc>
      </w:tr>
      <w:tr w:rsidR="00D85BAE" w:rsidRPr="00A0019E" w14:paraId="2565311E" w14:textId="77777777" w:rsidTr="008A0525">
        <w:tc>
          <w:tcPr>
            <w:tcW w:w="1174" w:type="dxa"/>
            <w:shd w:val="clear" w:color="auto" w:fill="FFFFFF" w:themeFill="background1"/>
          </w:tcPr>
          <w:p w14:paraId="513D7108" w14:textId="3AC0F513" w:rsidR="00D85BAE" w:rsidRPr="00A0019E" w:rsidRDefault="00BA3179" w:rsidP="00D85BAE">
            <w:pPr>
              <w:rPr>
                <w:sz w:val="21"/>
                <w:szCs w:val="21"/>
              </w:rPr>
            </w:pPr>
            <w:r w:rsidRPr="00A0019E">
              <w:rPr>
                <w:sz w:val="21"/>
                <w:szCs w:val="21"/>
              </w:rPr>
              <w:sym w:font="Wingdings" w:char="F06F"/>
            </w:r>
          </w:p>
        </w:tc>
        <w:tc>
          <w:tcPr>
            <w:tcW w:w="2338" w:type="dxa"/>
            <w:shd w:val="clear" w:color="auto" w:fill="FFFFFF" w:themeFill="background1"/>
          </w:tcPr>
          <w:p w14:paraId="3D2621C3" w14:textId="77777777" w:rsidR="00D85BAE" w:rsidRDefault="00211057" w:rsidP="00D85BAE">
            <w:pPr>
              <w:rPr>
                <w:sz w:val="21"/>
                <w:szCs w:val="21"/>
              </w:rPr>
            </w:pPr>
            <w:r>
              <w:rPr>
                <w:sz w:val="21"/>
                <w:szCs w:val="21"/>
              </w:rPr>
              <w:t>Explanation of effect</w:t>
            </w:r>
          </w:p>
        </w:tc>
        <w:tc>
          <w:tcPr>
            <w:tcW w:w="1387" w:type="dxa"/>
            <w:shd w:val="clear" w:color="auto" w:fill="FFFFFF" w:themeFill="background1"/>
          </w:tcPr>
          <w:p w14:paraId="7AEA1838" w14:textId="49398190" w:rsidR="00D85BAE" w:rsidRPr="00A0019E" w:rsidRDefault="007B0AFB" w:rsidP="00D85BAE">
            <w:pPr>
              <w:rPr>
                <w:sz w:val="21"/>
                <w:szCs w:val="21"/>
              </w:rPr>
            </w:pPr>
            <w:r>
              <w:rPr>
                <w:sz w:val="21"/>
                <w:szCs w:val="21"/>
              </w:rPr>
              <w:t xml:space="preserve">210 NAC 46.023.04(D) and </w:t>
            </w:r>
            <w:r w:rsidR="00DA5698">
              <w:rPr>
                <w:sz w:val="21"/>
                <w:szCs w:val="21"/>
              </w:rPr>
              <w:t>NE Filing Requirement</w:t>
            </w:r>
          </w:p>
        </w:tc>
        <w:tc>
          <w:tcPr>
            <w:tcW w:w="3075" w:type="dxa"/>
            <w:shd w:val="clear" w:color="auto" w:fill="FFFFFF" w:themeFill="background1"/>
          </w:tcPr>
          <w:p w14:paraId="34D23AD7" w14:textId="77777777" w:rsidR="00D85BAE" w:rsidRDefault="00211057" w:rsidP="00D85BAE">
            <w:pPr>
              <w:rPr>
                <w:sz w:val="21"/>
                <w:szCs w:val="21"/>
              </w:rPr>
            </w:pPr>
            <w:r>
              <w:rPr>
                <w:sz w:val="21"/>
                <w:szCs w:val="21"/>
              </w:rPr>
              <w:t>Explain selecting CBL will result in a paid-up policy.  Explain benefit periods are likely to be “significantly shortened” by selecting CBL.</w:t>
            </w:r>
          </w:p>
          <w:p w14:paraId="01B00925" w14:textId="7A3F7E7B" w:rsidR="007B0AFB" w:rsidRPr="00A0019E" w:rsidRDefault="007B0AFB" w:rsidP="00D85BAE">
            <w:pPr>
              <w:rPr>
                <w:sz w:val="21"/>
                <w:szCs w:val="21"/>
              </w:rPr>
            </w:pPr>
            <w:r>
              <w:rPr>
                <w:sz w:val="21"/>
                <w:szCs w:val="21"/>
              </w:rPr>
              <w:t>Amount and frequency stay the same, but lifetime maximum dollars or days of benefits reduce, per 210 NAC 46.023.05(B) and (C).</w:t>
            </w:r>
          </w:p>
        </w:tc>
        <w:tc>
          <w:tcPr>
            <w:tcW w:w="1376" w:type="dxa"/>
            <w:shd w:val="clear" w:color="auto" w:fill="FFFFFF" w:themeFill="background1"/>
          </w:tcPr>
          <w:p w14:paraId="595B7A07" w14:textId="77777777" w:rsidR="00D85BAE" w:rsidRPr="00A0019E" w:rsidRDefault="00D85BAE" w:rsidP="00D85BAE">
            <w:pPr>
              <w:rPr>
                <w:sz w:val="21"/>
                <w:szCs w:val="21"/>
              </w:rPr>
            </w:pPr>
          </w:p>
        </w:tc>
      </w:tr>
      <w:tr w:rsidR="007B0AFB" w:rsidRPr="00A0019E" w14:paraId="33FFF36E" w14:textId="77777777" w:rsidTr="008A0525">
        <w:tc>
          <w:tcPr>
            <w:tcW w:w="1174" w:type="dxa"/>
            <w:shd w:val="clear" w:color="auto" w:fill="FFFFFF" w:themeFill="background1"/>
          </w:tcPr>
          <w:p w14:paraId="271B5EF8" w14:textId="1786BC70" w:rsidR="007B0AFB" w:rsidRPr="00A0019E" w:rsidRDefault="00BA3179" w:rsidP="00D85BAE">
            <w:pPr>
              <w:rPr>
                <w:sz w:val="21"/>
                <w:szCs w:val="21"/>
              </w:rPr>
            </w:pPr>
            <w:r w:rsidRPr="00A0019E">
              <w:rPr>
                <w:sz w:val="21"/>
                <w:szCs w:val="21"/>
              </w:rPr>
              <w:sym w:font="Wingdings" w:char="F06F"/>
            </w:r>
          </w:p>
        </w:tc>
        <w:tc>
          <w:tcPr>
            <w:tcW w:w="2338" w:type="dxa"/>
            <w:shd w:val="clear" w:color="auto" w:fill="FFFFFF" w:themeFill="background1"/>
          </w:tcPr>
          <w:p w14:paraId="601707C4" w14:textId="2D7DBE26" w:rsidR="007B0AFB" w:rsidRDefault="007B0AFB" w:rsidP="00D85BAE">
            <w:pPr>
              <w:rPr>
                <w:sz w:val="21"/>
                <w:szCs w:val="21"/>
              </w:rPr>
            </w:pPr>
            <w:r>
              <w:rPr>
                <w:sz w:val="21"/>
                <w:szCs w:val="21"/>
              </w:rPr>
              <w:t>Offer of reduced benefits</w:t>
            </w:r>
          </w:p>
        </w:tc>
        <w:tc>
          <w:tcPr>
            <w:tcW w:w="1387" w:type="dxa"/>
            <w:shd w:val="clear" w:color="auto" w:fill="FFFFFF" w:themeFill="background1"/>
          </w:tcPr>
          <w:p w14:paraId="6E91C277" w14:textId="079CF31B" w:rsidR="007B0AFB" w:rsidRDefault="007B0AFB" w:rsidP="00D85BAE">
            <w:pPr>
              <w:rPr>
                <w:sz w:val="21"/>
                <w:szCs w:val="21"/>
              </w:rPr>
            </w:pPr>
            <w:r>
              <w:rPr>
                <w:sz w:val="21"/>
                <w:szCs w:val="21"/>
              </w:rPr>
              <w:t>210 NAC 46.023(D)(1)</w:t>
            </w:r>
          </w:p>
        </w:tc>
        <w:tc>
          <w:tcPr>
            <w:tcW w:w="3075" w:type="dxa"/>
            <w:shd w:val="clear" w:color="auto" w:fill="FFFFFF" w:themeFill="background1"/>
          </w:tcPr>
          <w:p w14:paraId="68DE4E62" w14:textId="6E07B858" w:rsidR="007B0AFB" w:rsidRDefault="007B0AFB" w:rsidP="00D85BAE">
            <w:pPr>
              <w:rPr>
                <w:sz w:val="21"/>
                <w:szCs w:val="21"/>
              </w:rPr>
            </w:pPr>
            <w:r>
              <w:rPr>
                <w:sz w:val="21"/>
                <w:szCs w:val="21"/>
              </w:rPr>
              <w:t>Insurer is required to offer to reduce policy benefits provided by the current coverage without the requirement of additional underwriting so that required premium payments are not increased.</w:t>
            </w:r>
          </w:p>
        </w:tc>
        <w:tc>
          <w:tcPr>
            <w:tcW w:w="1376" w:type="dxa"/>
            <w:shd w:val="clear" w:color="auto" w:fill="FFFFFF" w:themeFill="background1"/>
          </w:tcPr>
          <w:p w14:paraId="3371E8E2" w14:textId="77777777" w:rsidR="007B0AFB" w:rsidRPr="00A0019E" w:rsidRDefault="007B0AFB" w:rsidP="00D85BAE">
            <w:pPr>
              <w:rPr>
                <w:sz w:val="21"/>
                <w:szCs w:val="21"/>
              </w:rPr>
            </w:pPr>
          </w:p>
        </w:tc>
      </w:tr>
      <w:tr w:rsidR="00DA20D7" w:rsidRPr="00A0019E" w14:paraId="2DC83A1F" w14:textId="77777777" w:rsidTr="008A0525">
        <w:tc>
          <w:tcPr>
            <w:tcW w:w="1174" w:type="dxa"/>
            <w:shd w:val="clear" w:color="auto" w:fill="FFFFFF" w:themeFill="background1"/>
          </w:tcPr>
          <w:p w14:paraId="6097EE99" w14:textId="26F7C2B2" w:rsidR="00DA20D7" w:rsidRPr="00A0019E" w:rsidRDefault="00BA3179" w:rsidP="00D85BAE">
            <w:pPr>
              <w:rPr>
                <w:sz w:val="21"/>
                <w:szCs w:val="21"/>
              </w:rPr>
            </w:pPr>
            <w:r w:rsidRPr="00A0019E">
              <w:rPr>
                <w:sz w:val="21"/>
                <w:szCs w:val="21"/>
              </w:rPr>
              <w:sym w:font="Wingdings" w:char="F06F"/>
            </w:r>
          </w:p>
        </w:tc>
        <w:tc>
          <w:tcPr>
            <w:tcW w:w="2338" w:type="dxa"/>
            <w:shd w:val="clear" w:color="auto" w:fill="FFFFFF" w:themeFill="background1"/>
          </w:tcPr>
          <w:p w14:paraId="3FA95027" w14:textId="59D7131B" w:rsidR="00DA20D7" w:rsidRDefault="007B0AFB" w:rsidP="00D85BAE">
            <w:pPr>
              <w:rPr>
                <w:sz w:val="21"/>
                <w:szCs w:val="21"/>
              </w:rPr>
            </w:pPr>
            <w:r>
              <w:rPr>
                <w:sz w:val="21"/>
                <w:szCs w:val="21"/>
              </w:rPr>
              <w:t xml:space="preserve">Demonstration of new benefits </w:t>
            </w:r>
          </w:p>
        </w:tc>
        <w:tc>
          <w:tcPr>
            <w:tcW w:w="1387" w:type="dxa"/>
            <w:shd w:val="clear" w:color="auto" w:fill="FFFFFF" w:themeFill="background1"/>
          </w:tcPr>
          <w:p w14:paraId="5D74C993" w14:textId="0AEC3097" w:rsidR="00DA20D7" w:rsidRDefault="00DA20D7" w:rsidP="00D85BAE">
            <w:pPr>
              <w:rPr>
                <w:sz w:val="21"/>
                <w:szCs w:val="21"/>
              </w:rPr>
            </w:pPr>
            <w:r>
              <w:rPr>
                <w:sz w:val="21"/>
                <w:szCs w:val="21"/>
              </w:rPr>
              <w:t>NE Filing Requirement</w:t>
            </w:r>
          </w:p>
        </w:tc>
        <w:tc>
          <w:tcPr>
            <w:tcW w:w="3075" w:type="dxa"/>
            <w:shd w:val="clear" w:color="auto" w:fill="FFFFFF" w:themeFill="background1"/>
          </w:tcPr>
          <w:p w14:paraId="6465EB56" w14:textId="43B008BD" w:rsidR="00DA20D7" w:rsidRDefault="007B0AFB" w:rsidP="00D85BAE">
            <w:pPr>
              <w:rPr>
                <w:sz w:val="21"/>
                <w:szCs w:val="21"/>
              </w:rPr>
            </w:pPr>
            <w:r>
              <w:rPr>
                <w:sz w:val="21"/>
                <w:szCs w:val="21"/>
              </w:rPr>
              <w:t>Detailed demonstration estimating new benefits and limits under the CBL option.</w:t>
            </w:r>
          </w:p>
        </w:tc>
        <w:tc>
          <w:tcPr>
            <w:tcW w:w="1376" w:type="dxa"/>
            <w:shd w:val="clear" w:color="auto" w:fill="FFFFFF" w:themeFill="background1"/>
          </w:tcPr>
          <w:p w14:paraId="35022167" w14:textId="77777777" w:rsidR="00DA20D7" w:rsidRPr="00A0019E" w:rsidRDefault="00DA20D7" w:rsidP="00D85BAE">
            <w:pPr>
              <w:rPr>
                <w:sz w:val="21"/>
                <w:szCs w:val="21"/>
              </w:rPr>
            </w:pPr>
          </w:p>
        </w:tc>
      </w:tr>
      <w:tr w:rsidR="00D85BAE" w:rsidRPr="00A0019E" w14:paraId="2334971D" w14:textId="77777777" w:rsidTr="008A0525">
        <w:tc>
          <w:tcPr>
            <w:tcW w:w="1174" w:type="dxa"/>
            <w:shd w:val="clear" w:color="auto" w:fill="FFFFFF" w:themeFill="background1"/>
          </w:tcPr>
          <w:p w14:paraId="361A1CD2" w14:textId="09F4EE60" w:rsidR="00D85BAE" w:rsidRPr="00A0019E" w:rsidRDefault="00BA3179" w:rsidP="00D85BAE">
            <w:pPr>
              <w:rPr>
                <w:sz w:val="21"/>
                <w:szCs w:val="21"/>
              </w:rPr>
            </w:pPr>
            <w:r w:rsidRPr="00A0019E">
              <w:rPr>
                <w:sz w:val="21"/>
                <w:szCs w:val="21"/>
              </w:rPr>
              <w:sym w:font="Wingdings" w:char="F06F"/>
            </w:r>
          </w:p>
        </w:tc>
        <w:tc>
          <w:tcPr>
            <w:tcW w:w="2338" w:type="dxa"/>
            <w:shd w:val="clear" w:color="auto" w:fill="FFFFFF" w:themeFill="background1"/>
          </w:tcPr>
          <w:p w14:paraId="22D084B9" w14:textId="2B04D950" w:rsidR="00D85BAE" w:rsidRDefault="007B0AFB" w:rsidP="00D85BAE">
            <w:pPr>
              <w:rPr>
                <w:sz w:val="21"/>
                <w:szCs w:val="21"/>
              </w:rPr>
            </w:pPr>
            <w:r>
              <w:rPr>
                <w:sz w:val="21"/>
                <w:szCs w:val="21"/>
              </w:rPr>
              <w:t>Provide contact information</w:t>
            </w:r>
          </w:p>
        </w:tc>
        <w:tc>
          <w:tcPr>
            <w:tcW w:w="1387" w:type="dxa"/>
            <w:shd w:val="clear" w:color="auto" w:fill="FFFFFF" w:themeFill="background1"/>
          </w:tcPr>
          <w:p w14:paraId="34807E48" w14:textId="28F90E64" w:rsidR="00D85BAE" w:rsidRDefault="00DA5698" w:rsidP="00D85BAE">
            <w:pPr>
              <w:rPr>
                <w:sz w:val="21"/>
                <w:szCs w:val="21"/>
              </w:rPr>
            </w:pPr>
            <w:r>
              <w:rPr>
                <w:sz w:val="21"/>
                <w:szCs w:val="21"/>
              </w:rPr>
              <w:t>NE Filing Requirement</w:t>
            </w:r>
          </w:p>
        </w:tc>
        <w:tc>
          <w:tcPr>
            <w:tcW w:w="3075" w:type="dxa"/>
            <w:shd w:val="clear" w:color="auto" w:fill="FFFFFF" w:themeFill="background1"/>
          </w:tcPr>
          <w:p w14:paraId="4079582A" w14:textId="534C1B18" w:rsidR="00D85BAE" w:rsidRDefault="007B0AFB" w:rsidP="00D85BAE">
            <w:pPr>
              <w:rPr>
                <w:sz w:val="21"/>
                <w:szCs w:val="21"/>
              </w:rPr>
            </w:pPr>
            <w:r>
              <w:rPr>
                <w:sz w:val="21"/>
                <w:szCs w:val="21"/>
              </w:rPr>
              <w:t>Clearly state the insurer phone number and other contact to have PH evaluate CBL as an option.</w:t>
            </w:r>
          </w:p>
        </w:tc>
        <w:tc>
          <w:tcPr>
            <w:tcW w:w="1376" w:type="dxa"/>
            <w:shd w:val="clear" w:color="auto" w:fill="FFFFFF" w:themeFill="background1"/>
          </w:tcPr>
          <w:p w14:paraId="0A380C17" w14:textId="77777777" w:rsidR="00D85BAE" w:rsidRPr="00A0019E" w:rsidRDefault="00D85BAE" w:rsidP="00D85BAE">
            <w:pPr>
              <w:rPr>
                <w:sz w:val="21"/>
                <w:szCs w:val="21"/>
              </w:rPr>
            </w:pPr>
          </w:p>
        </w:tc>
      </w:tr>
      <w:tr w:rsidR="00D85BAE" w:rsidRPr="00A0019E" w14:paraId="32DA2659" w14:textId="77777777" w:rsidTr="00C80848">
        <w:tc>
          <w:tcPr>
            <w:tcW w:w="1174" w:type="dxa"/>
            <w:shd w:val="clear" w:color="auto" w:fill="E7E6E6" w:themeFill="background2"/>
          </w:tcPr>
          <w:p w14:paraId="3395F553" w14:textId="77777777" w:rsidR="00D85BAE" w:rsidRPr="00A0019E" w:rsidRDefault="00D85BAE" w:rsidP="00D85BAE">
            <w:pPr>
              <w:rPr>
                <w:sz w:val="21"/>
                <w:szCs w:val="21"/>
              </w:rPr>
            </w:pPr>
          </w:p>
        </w:tc>
        <w:tc>
          <w:tcPr>
            <w:tcW w:w="8176" w:type="dxa"/>
            <w:gridSpan w:val="4"/>
            <w:shd w:val="clear" w:color="auto" w:fill="E7E6E6" w:themeFill="background2"/>
          </w:tcPr>
          <w:p w14:paraId="1AF13710" w14:textId="77777777" w:rsidR="00D85BAE" w:rsidRPr="00211057" w:rsidRDefault="00211057" w:rsidP="00D85BAE">
            <w:pPr>
              <w:rPr>
                <w:b/>
                <w:sz w:val="21"/>
                <w:szCs w:val="21"/>
              </w:rPr>
            </w:pPr>
            <w:r w:rsidRPr="00211057">
              <w:rPr>
                <w:b/>
                <w:sz w:val="21"/>
                <w:szCs w:val="21"/>
              </w:rPr>
              <w:t>PARTNERSHIP STATUS</w:t>
            </w:r>
            <w:r w:rsidR="001142D4">
              <w:rPr>
                <w:b/>
                <w:sz w:val="21"/>
                <w:szCs w:val="21"/>
              </w:rPr>
              <w:t xml:space="preserve"> AND BENEFIT REDUCTIONS</w:t>
            </w:r>
          </w:p>
        </w:tc>
      </w:tr>
      <w:tr w:rsidR="00200EC2" w:rsidRPr="00A0019E" w14:paraId="7F7F82EE" w14:textId="77777777" w:rsidTr="008A0525">
        <w:tc>
          <w:tcPr>
            <w:tcW w:w="1174" w:type="dxa"/>
            <w:shd w:val="clear" w:color="auto" w:fill="FFFFFF" w:themeFill="background1"/>
          </w:tcPr>
          <w:p w14:paraId="5289BA11" w14:textId="146985D6" w:rsidR="00200EC2" w:rsidRPr="00A0019E" w:rsidRDefault="00BA3179" w:rsidP="00D85BAE">
            <w:pPr>
              <w:rPr>
                <w:sz w:val="21"/>
                <w:szCs w:val="21"/>
              </w:rPr>
            </w:pPr>
            <w:r w:rsidRPr="00A0019E">
              <w:rPr>
                <w:sz w:val="21"/>
                <w:szCs w:val="21"/>
              </w:rPr>
              <w:lastRenderedPageBreak/>
              <w:sym w:font="Wingdings" w:char="F06F"/>
            </w:r>
          </w:p>
        </w:tc>
        <w:tc>
          <w:tcPr>
            <w:tcW w:w="2338" w:type="dxa"/>
            <w:shd w:val="clear" w:color="auto" w:fill="FFFFFF" w:themeFill="background1"/>
          </w:tcPr>
          <w:p w14:paraId="08B3F399" w14:textId="2B8B1A48" w:rsidR="00200EC2" w:rsidRDefault="00200EC2" w:rsidP="00D85BAE">
            <w:pPr>
              <w:rPr>
                <w:sz w:val="21"/>
                <w:szCs w:val="21"/>
              </w:rPr>
            </w:pPr>
            <w:r>
              <w:rPr>
                <w:sz w:val="21"/>
                <w:szCs w:val="21"/>
              </w:rPr>
              <w:t>Do any policies affected by this rate increase qualify for partnership status?</w:t>
            </w:r>
          </w:p>
        </w:tc>
        <w:tc>
          <w:tcPr>
            <w:tcW w:w="1387" w:type="dxa"/>
            <w:shd w:val="clear" w:color="auto" w:fill="FFFFFF" w:themeFill="background1"/>
          </w:tcPr>
          <w:p w14:paraId="7A94EAC0" w14:textId="156DC22C" w:rsidR="00200EC2" w:rsidRPr="00A0019E" w:rsidRDefault="00DA5698" w:rsidP="00D85BAE">
            <w:pPr>
              <w:rPr>
                <w:sz w:val="21"/>
                <w:szCs w:val="21"/>
              </w:rPr>
            </w:pPr>
            <w:r>
              <w:rPr>
                <w:sz w:val="21"/>
                <w:szCs w:val="21"/>
              </w:rPr>
              <w:t>NE Filing Requirement</w:t>
            </w:r>
          </w:p>
        </w:tc>
        <w:tc>
          <w:tcPr>
            <w:tcW w:w="3075" w:type="dxa"/>
            <w:shd w:val="clear" w:color="auto" w:fill="FFFFFF" w:themeFill="background1"/>
          </w:tcPr>
          <w:p w14:paraId="3DFED477" w14:textId="44A9181E" w:rsidR="00200EC2" w:rsidRDefault="00200EC2" w:rsidP="001142D4">
            <w:pPr>
              <w:rPr>
                <w:rFonts w:cstheme="minorHAnsi"/>
                <w:bCs/>
                <w:sz w:val="21"/>
                <w:szCs w:val="21"/>
              </w:rPr>
            </w:pPr>
            <w:r>
              <w:rPr>
                <w:rFonts w:cstheme="minorHAnsi"/>
                <w:bCs/>
                <w:sz w:val="21"/>
                <w:szCs w:val="21"/>
              </w:rPr>
              <w:t>This question must be answered</w:t>
            </w:r>
            <w:r w:rsidR="003F6CBE">
              <w:rPr>
                <w:rFonts w:cstheme="minorHAnsi"/>
                <w:bCs/>
                <w:sz w:val="21"/>
                <w:szCs w:val="21"/>
              </w:rPr>
              <w:t xml:space="preserve"> in the column to the right</w:t>
            </w:r>
            <w:r w:rsidR="00A43C25">
              <w:rPr>
                <w:rFonts w:cstheme="minorHAnsi"/>
                <w:bCs/>
                <w:sz w:val="21"/>
                <w:szCs w:val="21"/>
              </w:rPr>
              <w:t>.</w:t>
            </w:r>
          </w:p>
        </w:tc>
        <w:tc>
          <w:tcPr>
            <w:tcW w:w="1376" w:type="dxa"/>
            <w:shd w:val="clear" w:color="auto" w:fill="FFFFFF" w:themeFill="background1"/>
          </w:tcPr>
          <w:p w14:paraId="7429B7DD" w14:textId="761F3991" w:rsidR="00200EC2" w:rsidRPr="00A43C25" w:rsidRDefault="00200EC2" w:rsidP="00D85BAE">
            <w:pPr>
              <w:rPr>
                <w:sz w:val="21"/>
                <w:szCs w:val="21"/>
                <w:u w:val="single"/>
              </w:rPr>
            </w:pPr>
            <w:r w:rsidRPr="00A43C25">
              <w:rPr>
                <w:sz w:val="21"/>
                <w:szCs w:val="21"/>
                <w:u w:val="single"/>
              </w:rPr>
              <w:t>Yes/No?</w:t>
            </w:r>
          </w:p>
        </w:tc>
      </w:tr>
      <w:tr w:rsidR="00D85BAE" w:rsidRPr="00A0019E" w14:paraId="3B2EB77D" w14:textId="77777777" w:rsidTr="008A0525">
        <w:tc>
          <w:tcPr>
            <w:tcW w:w="1174" w:type="dxa"/>
            <w:shd w:val="clear" w:color="auto" w:fill="FFFFFF" w:themeFill="background1"/>
          </w:tcPr>
          <w:p w14:paraId="75FDED62" w14:textId="2F40159F" w:rsidR="00D85BAE" w:rsidRPr="00A0019E" w:rsidRDefault="00BA3179" w:rsidP="00D85BAE">
            <w:pPr>
              <w:rPr>
                <w:sz w:val="21"/>
                <w:szCs w:val="21"/>
              </w:rPr>
            </w:pPr>
            <w:r w:rsidRPr="00A0019E">
              <w:rPr>
                <w:sz w:val="21"/>
                <w:szCs w:val="21"/>
              </w:rPr>
              <w:sym w:font="Wingdings" w:char="F06F"/>
            </w:r>
          </w:p>
        </w:tc>
        <w:tc>
          <w:tcPr>
            <w:tcW w:w="2338" w:type="dxa"/>
            <w:shd w:val="clear" w:color="auto" w:fill="FFFFFF" w:themeFill="background1"/>
          </w:tcPr>
          <w:p w14:paraId="2988CCA0" w14:textId="260F0B7F" w:rsidR="00D85BAE" w:rsidRPr="00A0019E" w:rsidRDefault="001142D4" w:rsidP="00D85BAE">
            <w:pPr>
              <w:rPr>
                <w:sz w:val="21"/>
                <w:szCs w:val="21"/>
              </w:rPr>
            </w:pPr>
            <w:r>
              <w:rPr>
                <w:sz w:val="21"/>
                <w:szCs w:val="21"/>
              </w:rPr>
              <w:t>Disclose that a benefit reduction option may cause loss of Partnership status</w:t>
            </w:r>
            <w:r w:rsidR="00A43C25">
              <w:rPr>
                <w:sz w:val="21"/>
                <w:szCs w:val="21"/>
              </w:rPr>
              <w:t>.</w:t>
            </w:r>
          </w:p>
        </w:tc>
        <w:tc>
          <w:tcPr>
            <w:tcW w:w="1387" w:type="dxa"/>
            <w:shd w:val="clear" w:color="auto" w:fill="FFFFFF" w:themeFill="background1"/>
          </w:tcPr>
          <w:p w14:paraId="001EF211" w14:textId="727A95AA" w:rsidR="00D85BAE" w:rsidRPr="00A0019E" w:rsidRDefault="00DA5698" w:rsidP="00D85BAE">
            <w:pPr>
              <w:rPr>
                <w:sz w:val="21"/>
                <w:szCs w:val="21"/>
              </w:rPr>
            </w:pPr>
            <w:r>
              <w:rPr>
                <w:sz w:val="21"/>
                <w:szCs w:val="21"/>
              </w:rPr>
              <w:t>NE Filing Requirement</w:t>
            </w:r>
          </w:p>
        </w:tc>
        <w:tc>
          <w:tcPr>
            <w:tcW w:w="3075" w:type="dxa"/>
            <w:shd w:val="clear" w:color="auto" w:fill="FFFFFF" w:themeFill="background1"/>
          </w:tcPr>
          <w:p w14:paraId="3E3924C8" w14:textId="77777777" w:rsidR="00D85BAE" w:rsidRPr="00A0019E" w:rsidRDefault="001142D4" w:rsidP="001142D4">
            <w:pPr>
              <w:rPr>
                <w:rFonts w:cstheme="minorHAnsi"/>
                <w:bCs/>
                <w:sz w:val="21"/>
                <w:szCs w:val="21"/>
              </w:rPr>
            </w:pPr>
            <w:r>
              <w:rPr>
                <w:rFonts w:cstheme="minorHAnsi"/>
                <w:bCs/>
                <w:sz w:val="21"/>
                <w:szCs w:val="21"/>
              </w:rPr>
              <w:t xml:space="preserve">Disclosure only if benefit reduction would cause loss of Partnership status.  </w:t>
            </w:r>
          </w:p>
        </w:tc>
        <w:tc>
          <w:tcPr>
            <w:tcW w:w="1376" w:type="dxa"/>
            <w:shd w:val="clear" w:color="auto" w:fill="FFFFFF" w:themeFill="background1"/>
          </w:tcPr>
          <w:p w14:paraId="3144E5C0" w14:textId="77777777" w:rsidR="00D85BAE" w:rsidRPr="00A0019E" w:rsidRDefault="00D85BAE" w:rsidP="00D85BAE">
            <w:pPr>
              <w:rPr>
                <w:sz w:val="21"/>
                <w:szCs w:val="21"/>
              </w:rPr>
            </w:pPr>
          </w:p>
        </w:tc>
      </w:tr>
      <w:tr w:rsidR="00D85BAE" w:rsidRPr="00A0019E" w14:paraId="1F2BA340" w14:textId="77777777" w:rsidTr="008A0525">
        <w:tc>
          <w:tcPr>
            <w:tcW w:w="1174" w:type="dxa"/>
            <w:shd w:val="clear" w:color="auto" w:fill="FFFFFF" w:themeFill="background1"/>
          </w:tcPr>
          <w:p w14:paraId="0A420DDB" w14:textId="488A350D" w:rsidR="00D85BAE" w:rsidRPr="00A0019E" w:rsidRDefault="00BA3179" w:rsidP="00D85BAE">
            <w:pPr>
              <w:rPr>
                <w:sz w:val="21"/>
                <w:szCs w:val="21"/>
              </w:rPr>
            </w:pPr>
            <w:r w:rsidRPr="00A0019E">
              <w:rPr>
                <w:sz w:val="21"/>
                <w:szCs w:val="21"/>
              </w:rPr>
              <w:sym w:font="Wingdings" w:char="F06F"/>
            </w:r>
          </w:p>
        </w:tc>
        <w:tc>
          <w:tcPr>
            <w:tcW w:w="2338" w:type="dxa"/>
            <w:shd w:val="clear" w:color="auto" w:fill="FFFFFF" w:themeFill="background1"/>
          </w:tcPr>
          <w:p w14:paraId="231A3D10" w14:textId="77777777" w:rsidR="00D85BAE" w:rsidRPr="00A0019E" w:rsidRDefault="001142D4" w:rsidP="001142D4">
            <w:pPr>
              <w:rPr>
                <w:sz w:val="21"/>
                <w:szCs w:val="21"/>
              </w:rPr>
            </w:pPr>
            <w:r>
              <w:rPr>
                <w:sz w:val="21"/>
                <w:szCs w:val="21"/>
              </w:rPr>
              <w:t>Explanation of consequences of losing Partnership status</w:t>
            </w:r>
          </w:p>
        </w:tc>
        <w:tc>
          <w:tcPr>
            <w:tcW w:w="1387" w:type="dxa"/>
            <w:shd w:val="clear" w:color="auto" w:fill="FFFFFF" w:themeFill="background1"/>
          </w:tcPr>
          <w:p w14:paraId="40A5529F" w14:textId="420326E6" w:rsidR="00D85BAE" w:rsidRPr="00A0019E" w:rsidRDefault="00DA5698" w:rsidP="00D85BAE">
            <w:pPr>
              <w:rPr>
                <w:sz w:val="21"/>
                <w:szCs w:val="21"/>
              </w:rPr>
            </w:pPr>
            <w:r>
              <w:rPr>
                <w:sz w:val="21"/>
                <w:szCs w:val="21"/>
              </w:rPr>
              <w:t>NE Filing Requirement</w:t>
            </w:r>
          </w:p>
        </w:tc>
        <w:tc>
          <w:tcPr>
            <w:tcW w:w="3075" w:type="dxa"/>
            <w:shd w:val="clear" w:color="auto" w:fill="FFFFFF" w:themeFill="background1"/>
          </w:tcPr>
          <w:p w14:paraId="215F865D" w14:textId="77777777" w:rsidR="00D85BAE" w:rsidRPr="00A0019E" w:rsidRDefault="001142D4" w:rsidP="00D85BAE">
            <w:pPr>
              <w:rPr>
                <w:rFonts w:cstheme="minorHAnsi"/>
                <w:bCs/>
                <w:sz w:val="21"/>
                <w:szCs w:val="21"/>
              </w:rPr>
            </w:pPr>
            <w:r>
              <w:rPr>
                <w:rFonts w:cstheme="minorHAnsi"/>
                <w:bCs/>
                <w:sz w:val="21"/>
                <w:szCs w:val="21"/>
              </w:rPr>
              <w:t>Disclosure must explain what loss of Partnership status would mean to the policyholder including loss of Medicaid asset protection.</w:t>
            </w:r>
          </w:p>
        </w:tc>
        <w:tc>
          <w:tcPr>
            <w:tcW w:w="1376" w:type="dxa"/>
            <w:shd w:val="clear" w:color="auto" w:fill="FFFFFF" w:themeFill="background1"/>
          </w:tcPr>
          <w:p w14:paraId="68B26723" w14:textId="77777777" w:rsidR="00D85BAE" w:rsidRPr="00A0019E" w:rsidRDefault="00D85BAE" w:rsidP="00D85BAE">
            <w:pPr>
              <w:rPr>
                <w:sz w:val="21"/>
                <w:szCs w:val="21"/>
              </w:rPr>
            </w:pPr>
          </w:p>
        </w:tc>
      </w:tr>
      <w:tr w:rsidR="00D67B72" w:rsidRPr="00A0019E" w14:paraId="35902379" w14:textId="77777777" w:rsidTr="005B34DC">
        <w:tc>
          <w:tcPr>
            <w:tcW w:w="1174" w:type="dxa"/>
            <w:shd w:val="clear" w:color="auto" w:fill="E7E6E6" w:themeFill="background2"/>
          </w:tcPr>
          <w:p w14:paraId="604CBADA" w14:textId="77777777" w:rsidR="00D67B72" w:rsidRPr="00F87327" w:rsidRDefault="00D67B72" w:rsidP="00D85BAE">
            <w:pPr>
              <w:rPr>
                <w:b/>
                <w:sz w:val="21"/>
                <w:szCs w:val="21"/>
              </w:rPr>
            </w:pPr>
          </w:p>
        </w:tc>
        <w:tc>
          <w:tcPr>
            <w:tcW w:w="8176" w:type="dxa"/>
            <w:gridSpan w:val="4"/>
            <w:shd w:val="clear" w:color="auto" w:fill="E7E6E6" w:themeFill="background2"/>
          </w:tcPr>
          <w:p w14:paraId="4BFFF613" w14:textId="2E1EB033" w:rsidR="00D67B72" w:rsidRPr="00D67B72" w:rsidRDefault="00D67B72" w:rsidP="00D85BAE">
            <w:pPr>
              <w:rPr>
                <w:b/>
                <w:sz w:val="21"/>
                <w:szCs w:val="21"/>
              </w:rPr>
            </w:pPr>
            <w:r w:rsidRPr="00D67B72">
              <w:rPr>
                <w:b/>
                <w:sz w:val="21"/>
                <w:szCs w:val="21"/>
              </w:rPr>
              <w:t>RETURN OF PREMIUM RIDER</w:t>
            </w:r>
            <w:r>
              <w:rPr>
                <w:b/>
                <w:sz w:val="21"/>
                <w:szCs w:val="21"/>
              </w:rPr>
              <w:t xml:space="preserve"> (DEATH BENEFIT)</w:t>
            </w:r>
          </w:p>
        </w:tc>
      </w:tr>
      <w:tr w:rsidR="00D67B72" w:rsidRPr="00A0019E" w14:paraId="2A94B369" w14:textId="77777777" w:rsidTr="008A0525">
        <w:tc>
          <w:tcPr>
            <w:tcW w:w="1174" w:type="dxa"/>
            <w:shd w:val="clear" w:color="auto" w:fill="FFFFFF" w:themeFill="background1"/>
          </w:tcPr>
          <w:p w14:paraId="2A3679AC" w14:textId="792207B7" w:rsidR="00D67B72" w:rsidRPr="00A0019E" w:rsidRDefault="00BA3179" w:rsidP="00D67B72">
            <w:pPr>
              <w:rPr>
                <w:sz w:val="21"/>
                <w:szCs w:val="21"/>
              </w:rPr>
            </w:pPr>
            <w:r w:rsidRPr="00A0019E">
              <w:rPr>
                <w:sz w:val="21"/>
                <w:szCs w:val="21"/>
              </w:rPr>
              <w:sym w:font="Wingdings" w:char="F06F"/>
            </w:r>
          </w:p>
        </w:tc>
        <w:tc>
          <w:tcPr>
            <w:tcW w:w="2338" w:type="dxa"/>
            <w:shd w:val="clear" w:color="auto" w:fill="FFFFFF" w:themeFill="background1"/>
          </w:tcPr>
          <w:p w14:paraId="06E679E7" w14:textId="176A093F" w:rsidR="00D67B72" w:rsidRDefault="00D67B72" w:rsidP="00D67B72">
            <w:pPr>
              <w:rPr>
                <w:sz w:val="21"/>
                <w:szCs w:val="21"/>
              </w:rPr>
            </w:pPr>
            <w:r>
              <w:rPr>
                <w:sz w:val="21"/>
                <w:szCs w:val="21"/>
              </w:rPr>
              <w:t>Return of premium upon death</w:t>
            </w:r>
          </w:p>
        </w:tc>
        <w:tc>
          <w:tcPr>
            <w:tcW w:w="1387" w:type="dxa"/>
            <w:shd w:val="clear" w:color="auto" w:fill="FFFFFF" w:themeFill="background1"/>
          </w:tcPr>
          <w:p w14:paraId="52DF5228" w14:textId="77777777" w:rsidR="00D67B72" w:rsidRDefault="00D67B72" w:rsidP="00D67B72">
            <w:pPr>
              <w:rPr>
                <w:sz w:val="21"/>
                <w:szCs w:val="21"/>
              </w:rPr>
            </w:pPr>
          </w:p>
        </w:tc>
        <w:tc>
          <w:tcPr>
            <w:tcW w:w="3075" w:type="dxa"/>
            <w:shd w:val="clear" w:color="auto" w:fill="FFFFFF" w:themeFill="background1"/>
          </w:tcPr>
          <w:p w14:paraId="5C5FAE0F" w14:textId="3C8D974B" w:rsidR="00D67B72" w:rsidRDefault="00D67B72" w:rsidP="00D67B72">
            <w:pPr>
              <w:rPr>
                <w:rFonts w:cstheme="minorHAnsi"/>
                <w:bCs/>
                <w:sz w:val="21"/>
                <w:szCs w:val="21"/>
              </w:rPr>
            </w:pPr>
            <w:r>
              <w:rPr>
                <w:sz w:val="21"/>
                <w:szCs w:val="21"/>
              </w:rPr>
              <w:t xml:space="preserve">Does the policy have an optional rider for return of premium on death?  If yes, include the </w:t>
            </w:r>
            <w:r w:rsidR="00CD5310">
              <w:rPr>
                <w:sz w:val="21"/>
                <w:szCs w:val="21"/>
              </w:rPr>
              <w:t xml:space="preserve">approximate </w:t>
            </w:r>
            <w:r>
              <w:rPr>
                <w:sz w:val="21"/>
                <w:szCs w:val="21"/>
              </w:rPr>
              <w:t>payout information upon death in the letter and explain that if the policy lapses, the death benefit goes away.</w:t>
            </w:r>
          </w:p>
        </w:tc>
        <w:tc>
          <w:tcPr>
            <w:tcW w:w="1376" w:type="dxa"/>
            <w:shd w:val="clear" w:color="auto" w:fill="FFFFFF" w:themeFill="background1"/>
          </w:tcPr>
          <w:p w14:paraId="5DA55402" w14:textId="7B4989EF" w:rsidR="00D67B72" w:rsidRPr="00A43C25" w:rsidRDefault="00D67B72" w:rsidP="00D67B72">
            <w:pPr>
              <w:rPr>
                <w:sz w:val="21"/>
                <w:szCs w:val="21"/>
                <w:u w:val="single"/>
              </w:rPr>
            </w:pPr>
            <w:r w:rsidRPr="00A43C25">
              <w:rPr>
                <w:sz w:val="21"/>
                <w:szCs w:val="21"/>
                <w:u w:val="single"/>
              </w:rPr>
              <w:t>Yes/No?</w:t>
            </w:r>
          </w:p>
        </w:tc>
      </w:tr>
      <w:tr w:rsidR="00D67B72" w:rsidRPr="00A0019E" w14:paraId="114CB4B7" w14:textId="77777777" w:rsidTr="00C80848">
        <w:tc>
          <w:tcPr>
            <w:tcW w:w="1174" w:type="dxa"/>
            <w:shd w:val="clear" w:color="auto" w:fill="E7E6E6" w:themeFill="background2"/>
          </w:tcPr>
          <w:p w14:paraId="6822998D" w14:textId="77777777" w:rsidR="00D67B72" w:rsidRPr="00A0019E" w:rsidRDefault="00D67B72" w:rsidP="00D67B72">
            <w:pPr>
              <w:rPr>
                <w:sz w:val="21"/>
                <w:szCs w:val="21"/>
              </w:rPr>
            </w:pPr>
          </w:p>
        </w:tc>
        <w:tc>
          <w:tcPr>
            <w:tcW w:w="8176" w:type="dxa"/>
            <w:gridSpan w:val="4"/>
            <w:shd w:val="clear" w:color="auto" w:fill="E7E6E6" w:themeFill="background2"/>
          </w:tcPr>
          <w:p w14:paraId="1269A51F" w14:textId="77777777" w:rsidR="00D67B72" w:rsidRPr="00A0019E" w:rsidRDefault="00D67B72" w:rsidP="00D67B72">
            <w:pPr>
              <w:rPr>
                <w:b/>
                <w:sz w:val="21"/>
                <w:szCs w:val="21"/>
              </w:rPr>
            </w:pPr>
            <w:r>
              <w:rPr>
                <w:b/>
                <w:sz w:val="21"/>
                <w:szCs w:val="21"/>
              </w:rPr>
              <w:t>FAQ OR OTHER ENCLOSURE</w:t>
            </w:r>
          </w:p>
          <w:p w14:paraId="79F04324" w14:textId="77777777" w:rsidR="00D67B72" w:rsidRPr="00A0019E" w:rsidRDefault="00D67B72" w:rsidP="00D67B72">
            <w:pPr>
              <w:rPr>
                <w:b/>
                <w:sz w:val="21"/>
                <w:szCs w:val="21"/>
              </w:rPr>
            </w:pPr>
            <w:r>
              <w:rPr>
                <w:b/>
                <w:sz w:val="21"/>
                <w:szCs w:val="21"/>
              </w:rPr>
              <w:t xml:space="preserve">If Frequently Asked Questions (FAQ) or other information will be provided to consumers in a mailing </w:t>
            </w:r>
            <w:proofErr w:type="gramStart"/>
            <w:r>
              <w:rPr>
                <w:b/>
                <w:sz w:val="21"/>
                <w:szCs w:val="21"/>
              </w:rPr>
              <w:t>as a way to</w:t>
            </w:r>
            <w:proofErr w:type="gramEnd"/>
            <w:r>
              <w:rPr>
                <w:b/>
                <w:sz w:val="21"/>
                <w:szCs w:val="21"/>
              </w:rPr>
              <w:t xml:space="preserve"> satisfy the elements listed in this checklist, the document should be submitted for approval.  If this information will also be posted on a website and amended as needed, please provide a link or web address, and please inform the Department that additional items will be included in the future.</w:t>
            </w:r>
          </w:p>
        </w:tc>
      </w:tr>
      <w:tr w:rsidR="00D67B72" w:rsidRPr="00A0019E" w14:paraId="56970B61" w14:textId="77777777" w:rsidTr="008A0525">
        <w:tc>
          <w:tcPr>
            <w:tcW w:w="1174" w:type="dxa"/>
            <w:shd w:val="clear" w:color="auto" w:fill="FFFFFF" w:themeFill="background1"/>
          </w:tcPr>
          <w:p w14:paraId="46BD950A" w14:textId="77777777" w:rsidR="00D67B72" w:rsidRPr="00A0019E" w:rsidRDefault="00D67B72" w:rsidP="00D67B72">
            <w:pPr>
              <w:rPr>
                <w:sz w:val="21"/>
                <w:szCs w:val="21"/>
              </w:rPr>
            </w:pPr>
            <w:r w:rsidRPr="00A0019E">
              <w:rPr>
                <w:sz w:val="21"/>
                <w:szCs w:val="21"/>
              </w:rPr>
              <w:sym w:font="Wingdings" w:char="F06F"/>
            </w:r>
          </w:p>
        </w:tc>
        <w:tc>
          <w:tcPr>
            <w:tcW w:w="2338" w:type="dxa"/>
            <w:shd w:val="clear" w:color="auto" w:fill="FFFFFF" w:themeFill="background1"/>
          </w:tcPr>
          <w:p w14:paraId="720B8230" w14:textId="77777777" w:rsidR="00D67B72" w:rsidRPr="00A0019E" w:rsidRDefault="00D67B72" w:rsidP="00D67B72">
            <w:pPr>
              <w:rPr>
                <w:sz w:val="21"/>
                <w:szCs w:val="21"/>
              </w:rPr>
            </w:pPr>
            <w:r w:rsidRPr="00A0019E">
              <w:rPr>
                <w:rStyle w:val="Hyperlink"/>
                <w:rFonts w:cstheme="minorHAnsi"/>
                <w:color w:val="auto"/>
                <w:sz w:val="21"/>
                <w:szCs w:val="21"/>
                <w:u w:val="none"/>
              </w:rPr>
              <w:t>Form number</w:t>
            </w:r>
            <w:r>
              <w:rPr>
                <w:rStyle w:val="Hyperlink"/>
                <w:rFonts w:cstheme="minorHAnsi"/>
                <w:color w:val="auto"/>
                <w:sz w:val="21"/>
                <w:szCs w:val="21"/>
                <w:u w:val="none"/>
              </w:rPr>
              <w:t xml:space="preserve"> </w:t>
            </w:r>
          </w:p>
        </w:tc>
        <w:tc>
          <w:tcPr>
            <w:tcW w:w="1387" w:type="dxa"/>
            <w:shd w:val="clear" w:color="auto" w:fill="FFFFFF" w:themeFill="background1"/>
          </w:tcPr>
          <w:p w14:paraId="3E8E584F" w14:textId="01453A3F" w:rsidR="00D67B72" w:rsidRPr="00A0019E" w:rsidRDefault="00D67B72" w:rsidP="00D67B72">
            <w:pPr>
              <w:rPr>
                <w:rStyle w:val="Hyperlink"/>
                <w:rFonts w:cstheme="minorHAnsi"/>
                <w:sz w:val="21"/>
                <w:szCs w:val="21"/>
              </w:rPr>
            </w:pPr>
            <w:r>
              <w:rPr>
                <w:sz w:val="21"/>
                <w:szCs w:val="21"/>
              </w:rPr>
              <w:t>NE Filing Requirement</w:t>
            </w:r>
          </w:p>
        </w:tc>
        <w:tc>
          <w:tcPr>
            <w:tcW w:w="3075" w:type="dxa"/>
            <w:shd w:val="clear" w:color="auto" w:fill="FFFFFF" w:themeFill="background1"/>
          </w:tcPr>
          <w:p w14:paraId="75DEA5B0" w14:textId="7613661E" w:rsidR="00D67B72" w:rsidRPr="00A0019E" w:rsidRDefault="00D67B72" w:rsidP="00D67B72">
            <w:pPr>
              <w:rPr>
                <w:rFonts w:cstheme="minorHAnsi"/>
                <w:sz w:val="21"/>
                <w:szCs w:val="21"/>
              </w:rPr>
            </w:pPr>
            <w:r>
              <w:rPr>
                <w:rStyle w:val="Hyperlink"/>
                <w:rFonts w:cstheme="minorHAnsi"/>
                <w:color w:val="auto"/>
                <w:sz w:val="21"/>
                <w:szCs w:val="21"/>
                <w:u w:val="none"/>
              </w:rPr>
              <w:t>(</w:t>
            </w:r>
            <w:proofErr w:type="gramStart"/>
            <w:r>
              <w:rPr>
                <w:rStyle w:val="Hyperlink"/>
                <w:rFonts w:cstheme="minorHAnsi"/>
                <w:color w:val="auto"/>
                <w:sz w:val="21"/>
                <w:szCs w:val="21"/>
                <w:u w:val="none"/>
              </w:rPr>
              <w:t>required</w:t>
            </w:r>
            <w:proofErr w:type="gramEnd"/>
            <w:r>
              <w:rPr>
                <w:rStyle w:val="Hyperlink"/>
                <w:rFonts w:cstheme="minorHAnsi"/>
                <w:color w:val="auto"/>
                <w:sz w:val="21"/>
                <w:szCs w:val="21"/>
                <w:u w:val="none"/>
              </w:rPr>
              <w:t xml:space="preserve"> if a paper copy will be mailed)</w:t>
            </w:r>
            <w:r w:rsidR="00806691">
              <w:rPr>
                <w:rStyle w:val="Hyperlink"/>
                <w:rFonts w:cstheme="minorHAnsi"/>
                <w:color w:val="auto"/>
                <w:sz w:val="21"/>
                <w:szCs w:val="21"/>
                <w:u w:val="none"/>
              </w:rPr>
              <w:t xml:space="preserve"> </w:t>
            </w:r>
            <w:r w:rsidR="00806691">
              <w:rPr>
                <w:rFonts w:ascii="Verdana" w:hAnsi="Verdana"/>
                <w:color w:val="000000"/>
                <w:sz w:val="17"/>
                <w:szCs w:val="17"/>
              </w:rPr>
              <w:br/>
            </w:r>
            <w:r w:rsidR="00806691">
              <w:rPr>
                <w:rFonts w:ascii="Verdana" w:hAnsi="Verdana"/>
                <w:color w:val="000000"/>
                <w:sz w:val="17"/>
                <w:szCs w:val="17"/>
                <w:shd w:val="clear" w:color="auto" w:fill="FFFFFF"/>
              </w:rPr>
              <w:t>The form number cannot be variable and must be in the lower left-hand corner of all the pages of the document.</w:t>
            </w:r>
          </w:p>
        </w:tc>
        <w:tc>
          <w:tcPr>
            <w:tcW w:w="1376" w:type="dxa"/>
            <w:shd w:val="clear" w:color="auto" w:fill="FFFFFF" w:themeFill="background1"/>
          </w:tcPr>
          <w:p w14:paraId="79874CB7" w14:textId="77777777" w:rsidR="00D67B72" w:rsidRPr="00A0019E" w:rsidRDefault="00D67B72" w:rsidP="00D67B72">
            <w:pPr>
              <w:rPr>
                <w:sz w:val="21"/>
                <w:szCs w:val="21"/>
              </w:rPr>
            </w:pPr>
          </w:p>
        </w:tc>
      </w:tr>
      <w:tr w:rsidR="00D67B72" w:rsidRPr="00A0019E" w14:paraId="6C75FA35" w14:textId="77777777" w:rsidTr="008A0525">
        <w:tc>
          <w:tcPr>
            <w:tcW w:w="1174" w:type="dxa"/>
            <w:shd w:val="clear" w:color="auto" w:fill="FFFFFF" w:themeFill="background1"/>
          </w:tcPr>
          <w:p w14:paraId="7B9C6EA9" w14:textId="77777777" w:rsidR="00D67B72" w:rsidRPr="00A0019E" w:rsidRDefault="00D67B72" w:rsidP="00D67B72">
            <w:pPr>
              <w:rPr>
                <w:sz w:val="21"/>
                <w:szCs w:val="21"/>
              </w:rPr>
            </w:pPr>
            <w:r w:rsidRPr="00A0019E">
              <w:rPr>
                <w:sz w:val="21"/>
                <w:szCs w:val="21"/>
              </w:rPr>
              <w:sym w:font="Wingdings" w:char="F06F"/>
            </w:r>
          </w:p>
        </w:tc>
        <w:tc>
          <w:tcPr>
            <w:tcW w:w="2338" w:type="dxa"/>
            <w:shd w:val="clear" w:color="auto" w:fill="FFFFFF" w:themeFill="background1"/>
          </w:tcPr>
          <w:p w14:paraId="3B4E5536" w14:textId="77777777" w:rsidR="00D67B72" w:rsidRPr="00A0019E" w:rsidRDefault="00D67B72" w:rsidP="00D67B72">
            <w:pPr>
              <w:rPr>
                <w:sz w:val="21"/>
                <w:szCs w:val="21"/>
              </w:rPr>
            </w:pPr>
            <w:r>
              <w:rPr>
                <w:sz w:val="21"/>
                <w:szCs w:val="21"/>
              </w:rPr>
              <w:t>Web address or link</w:t>
            </w:r>
          </w:p>
        </w:tc>
        <w:tc>
          <w:tcPr>
            <w:tcW w:w="1387" w:type="dxa"/>
            <w:shd w:val="clear" w:color="auto" w:fill="FFFFFF" w:themeFill="background1"/>
          </w:tcPr>
          <w:p w14:paraId="4727D05C" w14:textId="25B07C28" w:rsidR="00D67B72" w:rsidRPr="00A0019E" w:rsidRDefault="00D67B72" w:rsidP="00D67B72">
            <w:pPr>
              <w:rPr>
                <w:rStyle w:val="Hyperlink"/>
                <w:rFonts w:cstheme="minorHAnsi"/>
                <w:sz w:val="21"/>
                <w:szCs w:val="21"/>
              </w:rPr>
            </w:pPr>
            <w:r>
              <w:rPr>
                <w:sz w:val="21"/>
                <w:szCs w:val="21"/>
              </w:rPr>
              <w:t>NE Filing Requirement</w:t>
            </w:r>
          </w:p>
        </w:tc>
        <w:tc>
          <w:tcPr>
            <w:tcW w:w="3075" w:type="dxa"/>
            <w:shd w:val="clear" w:color="auto" w:fill="FFFFFF" w:themeFill="background1"/>
          </w:tcPr>
          <w:p w14:paraId="301CF341" w14:textId="77777777" w:rsidR="00D67B72" w:rsidRDefault="00D67B72" w:rsidP="00D67B72">
            <w:pPr>
              <w:rPr>
                <w:rFonts w:cstheme="minorHAnsi"/>
                <w:sz w:val="21"/>
                <w:szCs w:val="21"/>
              </w:rPr>
            </w:pPr>
            <w:r>
              <w:rPr>
                <w:rFonts w:cstheme="minorHAnsi"/>
                <w:sz w:val="21"/>
                <w:szCs w:val="21"/>
              </w:rPr>
              <w:t xml:space="preserve">Must be a working website. Provide link/address, screen shots or language to be displayed on website, along with statement that any changes will add items or provide additional </w:t>
            </w:r>
            <w:proofErr w:type="gramStart"/>
            <w:r>
              <w:rPr>
                <w:rFonts w:cstheme="minorHAnsi"/>
                <w:sz w:val="21"/>
                <w:szCs w:val="21"/>
              </w:rPr>
              <w:t>information, but</w:t>
            </w:r>
            <w:proofErr w:type="gramEnd"/>
            <w:r>
              <w:rPr>
                <w:rFonts w:cstheme="minorHAnsi"/>
                <w:sz w:val="21"/>
                <w:szCs w:val="21"/>
              </w:rPr>
              <w:t xml:space="preserve"> will not eliminate information in the web content.</w:t>
            </w:r>
          </w:p>
          <w:p w14:paraId="5D7127CC" w14:textId="684C0DDB" w:rsidR="00D67B72" w:rsidRPr="00A0019E" w:rsidRDefault="00D67B72" w:rsidP="00D67B72">
            <w:pPr>
              <w:rPr>
                <w:rFonts w:cstheme="minorHAnsi"/>
                <w:sz w:val="21"/>
                <w:szCs w:val="21"/>
              </w:rPr>
            </w:pPr>
            <w:r>
              <w:rPr>
                <w:rFonts w:cstheme="minorHAnsi"/>
                <w:sz w:val="21"/>
                <w:szCs w:val="21"/>
              </w:rPr>
              <w:t>If website display differs depending on options selected, screen shots are acceptable.</w:t>
            </w:r>
          </w:p>
        </w:tc>
        <w:tc>
          <w:tcPr>
            <w:tcW w:w="1376" w:type="dxa"/>
            <w:shd w:val="clear" w:color="auto" w:fill="FFFFFF" w:themeFill="background1"/>
          </w:tcPr>
          <w:p w14:paraId="591096CC" w14:textId="77777777" w:rsidR="00D67B72" w:rsidRPr="00A0019E" w:rsidRDefault="00D67B72" w:rsidP="00D67B72">
            <w:pPr>
              <w:rPr>
                <w:sz w:val="21"/>
                <w:szCs w:val="21"/>
              </w:rPr>
            </w:pPr>
          </w:p>
        </w:tc>
      </w:tr>
      <w:tr w:rsidR="00D67B72" w:rsidRPr="00A0019E" w14:paraId="1BE309DD" w14:textId="77777777" w:rsidTr="008A0525">
        <w:tc>
          <w:tcPr>
            <w:tcW w:w="1174" w:type="dxa"/>
            <w:shd w:val="clear" w:color="auto" w:fill="FFFFFF" w:themeFill="background1"/>
          </w:tcPr>
          <w:p w14:paraId="050CA4E4" w14:textId="77777777" w:rsidR="00D67B72" w:rsidRPr="00A0019E" w:rsidRDefault="00D67B72" w:rsidP="00D67B72">
            <w:pPr>
              <w:rPr>
                <w:sz w:val="21"/>
                <w:szCs w:val="21"/>
              </w:rPr>
            </w:pPr>
            <w:r w:rsidRPr="00A0019E">
              <w:rPr>
                <w:sz w:val="21"/>
                <w:szCs w:val="21"/>
              </w:rPr>
              <w:sym w:font="Wingdings" w:char="F06F"/>
            </w:r>
          </w:p>
        </w:tc>
        <w:tc>
          <w:tcPr>
            <w:tcW w:w="2338" w:type="dxa"/>
            <w:shd w:val="clear" w:color="auto" w:fill="FFFFFF" w:themeFill="background1"/>
          </w:tcPr>
          <w:p w14:paraId="511E6604" w14:textId="77777777" w:rsidR="00D67B72" w:rsidRPr="00A0019E" w:rsidRDefault="00D67B72" w:rsidP="00D67B72">
            <w:pPr>
              <w:rPr>
                <w:sz w:val="21"/>
                <w:szCs w:val="21"/>
              </w:rPr>
            </w:pPr>
            <w:r>
              <w:rPr>
                <w:sz w:val="21"/>
                <w:szCs w:val="21"/>
              </w:rPr>
              <w:t>Subject to change</w:t>
            </w:r>
          </w:p>
        </w:tc>
        <w:tc>
          <w:tcPr>
            <w:tcW w:w="1387" w:type="dxa"/>
            <w:shd w:val="clear" w:color="auto" w:fill="FFFFFF" w:themeFill="background1"/>
          </w:tcPr>
          <w:p w14:paraId="163C8138" w14:textId="7D52E8EC" w:rsidR="00D67B72" w:rsidRPr="00A0019E" w:rsidRDefault="00D67B72" w:rsidP="00D67B72">
            <w:pPr>
              <w:rPr>
                <w:rStyle w:val="Hyperlink"/>
                <w:rFonts w:cstheme="minorHAnsi"/>
                <w:sz w:val="21"/>
                <w:szCs w:val="21"/>
              </w:rPr>
            </w:pPr>
            <w:r>
              <w:rPr>
                <w:sz w:val="21"/>
                <w:szCs w:val="21"/>
              </w:rPr>
              <w:t>NE Filing Requirement</w:t>
            </w:r>
          </w:p>
        </w:tc>
        <w:tc>
          <w:tcPr>
            <w:tcW w:w="3075" w:type="dxa"/>
            <w:shd w:val="clear" w:color="auto" w:fill="FFFFFF" w:themeFill="background1"/>
          </w:tcPr>
          <w:p w14:paraId="2A360C0D" w14:textId="77777777" w:rsidR="00D67B72" w:rsidRPr="00A0019E" w:rsidRDefault="00D67B72" w:rsidP="00D67B72">
            <w:pPr>
              <w:rPr>
                <w:rFonts w:cstheme="minorHAnsi"/>
                <w:sz w:val="21"/>
                <w:szCs w:val="21"/>
              </w:rPr>
            </w:pPr>
            <w:r>
              <w:rPr>
                <w:rFonts w:cstheme="minorHAnsi"/>
                <w:sz w:val="21"/>
                <w:szCs w:val="21"/>
              </w:rPr>
              <w:t xml:space="preserve">While FAQs may be supplemented over time, elements of this checklist cannot be eliminated from the FAQ as changes are made to the online </w:t>
            </w:r>
            <w:r>
              <w:rPr>
                <w:rFonts w:cstheme="minorHAnsi"/>
                <w:sz w:val="21"/>
                <w:szCs w:val="21"/>
              </w:rPr>
              <w:lastRenderedPageBreak/>
              <w:t>version.  Please indicate agreement in the SERFF filing introduction/cover letter</w:t>
            </w:r>
          </w:p>
        </w:tc>
        <w:tc>
          <w:tcPr>
            <w:tcW w:w="1376" w:type="dxa"/>
            <w:shd w:val="clear" w:color="auto" w:fill="FFFFFF" w:themeFill="background1"/>
          </w:tcPr>
          <w:p w14:paraId="767905DE" w14:textId="77777777" w:rsidR="00D67B72" w:rsidRPr="00A0019E" w:rsidRDefault="00D67B72" w:rsidP="00D67B72">
            <w:pPr>
              <w:rPr>
                <w:sz w:val="21"/>
                <w:szCs w:val="21"/>
              </w:rPr>
            </w:pPr>
          </w:p>
        </w:tc>
      </w:tr>
      <w:tr w:rsidR="00D67B72" w:rsidRPr="00A0019E" w14:paraId="398F5094" w14:textId="77777777" w:rsidTr="00C80848">
        <w:tc>
          <w:tcPr>
            <w:tcW w:w="1174" w:type="dxa"/>
            <w:shd w:val="clear" w:color="auto" w:fill="E7E6E6" w:themeFill="background2"/>
          </w:tcPr>
          <w:p w14:paraId="6FFE32A2" w14:textId="77777777" w:rsidR="00D67B72" w:rsidRPr="00A0019E" w:rsidRDefault="00D67B72" w:rsidP="00D67B72">
            <w:pPr>
              <w:rPr>
                <w:sz w:val="21"/>
                <w:szCs w:val="21"/>
              </w:rPr>
            </w:pPr>
          </w:p>
        </w:tc>
        <w:tc>
          <w:tcPr>
            <w:tcW w:w="8176" w:type="dxa"/>
            <w:gridSpan w:val="4"/>
            <w:shd w:val="clear" w:color="auto" w:fill="E7E6E6" w:themeFill="background2"/>
          </w:tcPr>
          <w:p w14:paraId="05161DE3" w14:textId="2547ECCF" w:rsidR="00AE6662" w:rsidRPr="00AE6662" w:rsidRDefault="00D67B72" w:rsidP="00AE6662">
            <w:pPr>
              <w:rPr>
                <w:b/>
                <w:sz w:val="21"/>
                <w:szCs w:val="21"/>
              </w:rPr>
            </w:pPr>
            <w:r w:rsidRPr="00A0019E">
              <w:rPr>
                <w:sz w:val="21"/>
                <w:szCs w:val="21"/>
              </w:rPr>
              <w:br w:type="page"/>
            </w:r>
            <w:r w:rsidR="00AE6662">
              <w:rPr>
                <w:b/>
                <w:sz w:val="21"/>
                <w:szCs w:val="21"/>
              </w:rPr>
              <w:t>POLICY ENDORSEMENTS OR RIDERS</w:t>
            </w:r>
          </w:p>
          <w:p w14:paraId="63F14274" w14:textId="4D48DCD4" w:rsidR="00D67B72" w:rsidRPr="00A0019E" w:rsidRDefault="00AE6662" w:rsidP="00D67B72">
            <w:pPr>
              <w:rPr>
                <w:sz w:val="21"/>
                <w:szCs w:val="21"/>
              </w:rPr>
            </w:pPr>
            <w:r w:rsidRPr="008A1E1C">
              <w:rPr>
                <w:sz w:val="21"/>
                <w:szCs w:val="21"/>
              </w:rPr>
              <w:t>If benefit reduction or other mitigation options will involve amending the policy, a separate rider or en</w:t>
            </w:r>
            <w:r>
              <w:rPr>
                <w:sz w:val="21"/>
                <w:szCs w:val="21"/>
              </w:rPr>
              <w:t xml:space="preserve">dorsement should be filed here.  </w:t>
            </w:r>
          </w:p>
        </w:tc>
      </w:tr>
      <w:tr w:rsidR="00AE6662" w:rsidRPr="00A0019E" w14:paraId="5D5E294D" w14:textId="77777777" w:rsidTr="00812FE7">
        <w:trPr>
          <w:trHeight w:val="620"/>
        </w:trPr>
        <w:tc>
          <w:tcPr>
            <w:tcW w:w="1174" w:type="dxa"/>
          </w:tcPr>
          <w:p w14:paraId="55DFC10E" w14:textId="298EE913" w:rsidR="00AE6662" w:rsidRPr="00A0019E" w:rsidRDefault="00BA3179" w:rsidP="00AE6662">
            <w:pPr>
              <w:rPr>
                <w:sz w:val="21"/>
                <w:szCs w:val="21"/>
              </w:rPr>
            </w:pPr>
            <w:r w:rsidRPr="00A0019E">
              <w:rPr>
                <w:sz w:val="21"/>
                <w:szCs w:val="21"/>
              </w:rPr>
              <w:sym w:font="Wingdings" w:char="F06F"/>
            </w:r>
          </w:p>
        </w:tc>
        <w:tc>
          <w:tcPr>
            <w:tcW w:w="2338" w:type="dxa"/>
          </w:tcPr>
          <w:p w14:paraId="03FE25E2" w14:textId="5ADD31F8" w:rsidR="00AE6662" w:rsidRPr="00A0019E" w:rsidRDefault="00AE6662" w:rsidP="00AE6662">
            <w:pPr>
              <w:rPr>
                <w:sz w:val="21"/>
                <w:szCs w:val="21"/>
              </w:rPr>
            </w:pPr>
            <w:r>
              <w:rPr>
                <w:sz w:val="21"/>
                <w:szCs w:val="21"/>
              </w:rPr>
              <w:t>Clear reference to policy numbers to which the endorsement applies</w:t>
            </w:r>
          </w:p>
        </w:tc>
        <w:tc>
          <w:tcPr>
            <w:tcW w:w="1387" w:type="dxa"/>
          </w:tcPr>
          <w:p w14:paraId="480002E0" w14:textId="02112585" w:rsidR="00AE6662" w:rsidRPr="00A0019E" w:rsidRDefault="00AE6662" w:rsidP="00AE6662">
            <w:pPr>
              <w:rPr>
                <w:rStyle w:val="Hyperlink"/>
                <w:color w:val="auto"/>
                <w:sz w:val="21"/>
                <w:szCs w:val="21"/>
                <w:u w:val="none"/>
              </w:rPr>
            </w:pPr>
          </w:p>
        </w:tc>
        <w:tc>
          <w:tcPr>
            <w:tcW w:w="3075" w:type="dxa"/>
          </w:tcPr>
          <w:p w14:paraId="437B38EC" w14:textId="3BB556E8" w:rsidR="00AE6662" w:rsidRDefault="00AE6662" w:rsidP="00AE6662">
            <w:pPr>
              <w:rPr>
                <w:rFonts w:ascii="Verdana" w:hAnsi="Verdana"/>
                <w:color w:val="000000"/>
                <w:sz w:val="17"/>
                <w:szCs w:val="17"/>
                <w:shd w:val="clear" w:color="auto" w:fill="FFFFFF"/>
              </w:rPr>
            </w:pPr>
          </w:p>
        </w:tc>
        <w:tc>
          <w:tcPr>
            <w:tcW w:w="1376" w:type="dxa"/>
          </w:tcPr>
          <w:p w14:paraId="69437EA3" w14:textId="77777777" w:rsidR="00AE6662" w:rsidRPr="00A0019E" w:rsidRDefault="00AE6662" w:rsidP="00AE6662">
            <w:pPr>
              <w:rPr>
                <w:sz w:val="21"/>
                <w:szCs w:val="21"/>
              </w:rPr>
            </w:pPr>
          </w:p>
        </w:tc>
      </w:tr>
      <w:tr w:rsidR="00AE6662" w:rsidRPr="00A0019E" w14:paraId="38F555C1" w14:textId="77777777" w:rsidTr="00812FE7">
        <w:trPr>
          <w:trHeight w:val="620"/>
        </w:trPr>
        <w:tc>
          <w:tcPr>
            <w:tcW w:w="1174" w:type="dxa"/>
          </w:tcPr>
          <w:p w14:paraId="287A4875" w14:textId="6A903F76" w:rsidR="00AE6662" w:rsidRPr="00A0019E" w:rsidRDefault="00BA3179" w:rsidP="00AE6662">
            <w:pPr>
              <w:rPr>
                <w:sz w:val="21"/>
                <w:szCs w:val="21"/>
              </w:rPr>
            </w:pPr>
            <w:r w:rsidRPr="00A0019E">
              <w:rPr>
                <w:sz w:val="21"/>
                <w:szCs w:val="21"/>
              </w:rPr>
              <w:sym w:font="Wingdings" w:char="F06F"/>
            </w:r>
          </w:p>
        </w:tc>
        <w:tc>
          <w:tcPr>
            <w:tcW w:w="2338" w:type="dxa"/>
          </w:tcPr>
          <w:p w14:paraId="763A68B2" w14:textId="68E2CB18" w:rsidR="00AE6662" w:rsidRPr="00A0019E" w:rsidRDefault="00AE6662" w:rsidP="00AE6662">
            <w:pPr>
              <w:rPr>
                <w:sz w:val="21"/>
                <w:szCs w:val="21"/>
              </w:rPr>
            </w:pPr>
            <w:r>
              <w:rPr>
                <w:sz w:val="21"/>
                <w:szCs w:val="21"/>
              </w:rPr>
              <w:t>Clear reference to which policy language is replaced</w:t>
            </w:r>
          </w:p>
        </w:tc>
        <w:tc>
          <w:tcPr>
            <w:tcW w:w="1387" w:type="dxa"/>
          </w:tcPr>
          <w:p w14:paraId="39CF7DB5" w14:textId="77777777" w:rsidR="00AE6662" w:rsidRPr="00A0019E" w:rsidRDefault="00AE6662" w:rsidP="00AE6662">
            <w:pPr>
              <w:rPr>
                <w:rStyle w:val="Hyperlink"/>
                <w:color w:val="auto"/>
                <w:sz w:val="21"/>
                <w:szCs w:val="21"/>
                <w:u w:val="none"/>
              </w:rPr>
            </w:pPr>
          </w:p>
        </w:tc>
        <w:tc>
          <w:tcPr>
            <w:tcW w:w="3075" w:type="dxa"/>
          </w:tcPr>
          <w:p w14:paraId="68166B22" w14:textId="77777777" w:rsidR="00AE6662" w:rsidRDefault="00AE6662" w:rsidP="00AE6662">
            <w:pPr>
              <w:rPr>
                <w:rFonts w:ascii="Verdana" w:hAnsi="Verdana"/>
                <w:color w:val="000000"/>
                <w:sz w:val="17"/>
                <w:szCs w:val="17"/>
                <w:shd w:val="clear" w:color="auto" w:fill="FFFFFF"/>
              </w:rPr>
            </w:pPr>
          </w:p>
        </w:tc>
        <w:tc>
          <w:tcPr>
            <w:tcW w:w="1376" w:type="dxa"/>
          </w:tcPr>
          <w:p w14:paraId="3F18E426" w14:textId="77777777" w:rsidR="00AE6662" w:rsidRPr="00A0019E" w:rsidRDefault="00AE6662" w:rsidP="00AE6662">
            <w:pPr>
              <w:rPr>
                <w:sz w:val="21"/>
                <w:szCs w:val="21"/>
              </w:rPr>
            </w:pPr>
          </w:p>
        </w:tc>
      </w:tr>
      <w:tr w:rsidR="00AE6662" w:rsidRPr="00A0019E" w14:paraId="7081EA0B" w14:textId="77777777" w:rsidTr="00812FE7">
        <w:trPr>
          <w:trHeight w:val="620"/>
        </w:trPr>
        <w:tc>
          <w:tcPr>
            <w:tcW w:w="1174" w:type="dxa"/>
          </w:tcPr>
          <w:p w14:paraId="54B275E4" w14:textId="3ADF8F99" w:rsidR="00AE6662" w:rsidRPr="00A0019E" w:rsidRDefault="00BA3179" w:rsidP="00AE6662">
            <w:pPr>
              <w:rPr>
                <w:sz w:val="21"/>
                <w:szCs w:val="21"/>
              </w:rPr>
            </w:pPr>
            <w:r w:rsidRPr="00A0019E">
              <w:rPr>
                <w:sz w:val="21"/>
                <w:szCs w:val="21"/>
              </w:rPr>
              <w:sym w:font="Wingdings" w:char="F06F"/>
            </w:r>
          </w:p>
        </w:tc>
        <w:tc>
          <w:tcPr>
            <w:tcW w:w="2338" w:type="dxa"/>
          </w:tcPr>
          <w:p w14:paraId="5D6180A5" w14:textId="5685328D" w:rsidR="00AE6662" w:rsidRPr="00A0019E" w:rsidRDefault="00AE6662" w:rsidP="00AE6662">
            <w:pPr>
              <w:rPr>
                <w:sz w:val="21"/>
                <w:szCs w:val="21"/>
              </w:rPr>
            </w:pPr>
            <w:r>
              <w:rPr>
                <w:sz w:val="21"/>
                <w:szCs w:val="21"/>
              </w:rPr>
              <w:t>Clear explanation of new benefit or eliminated benefit</w:t>
            </w:r>
          </w:p>
        </w:tc>
        <w:tc>
          <w:tcPr>
            <w:tcW w:w="1387" w:type="dxa"/>
          </w:tcPr>
          <w:p w14:paraId="00912B76" w14:textId="77777777" w:rsidR="00AE6662" w:rsidRPr="00A0019E" w:rsidRDefault="00AE6662" w:rsidP="00AE6662">
            <w:pPr>
              <w:rPr>
                <w:rStyle w:val="Hyperlink"/>
                <w:color w:val="auto"/>
                <w:sz w:val="21"/>
                <w:szCs w:val="21"/>
                <w:u w:val="none"/>
              </w:rPr>
            </w:pPr>
          </w:p>
        </w:tc>
        <w:tc>
          <w:tcPr>
            <w:tcW w:w="3075" w:type="dxa"/>
          </w:tcPr>
          <w:p w14:paraId="5C3D0876" w14:textId="77777777" w:rsidR="00AE6662" w:rsidRDefault="00AE6662" w:rsidP="00AE6662">
            <w:pPr>
              <w:rPr>
                <w:rFonts w:ascii="Verdana" w:hAnsi="Verdana"/>
                <w:color w:val="000000"/>
                <w:sz w:val="17"/>
                <w:szCs w:val="17"/>
                <w:shd w:val="clear" w:color="auto" w:fill="FFFFFF"/>
              </w:rPr>
            </w:pPr>
          </w:p>
        </w:tc>
        <w:tc>
          <w:tcPr>
            <w:tcW w:w="1376" w:type="dxa"/>
          </w:tcPr>
          <w:p w14:paraId="2C7A725B" w14:textId="77777777" w:rsidR="00AE6662" w:rsidRPr="00A0019E" w:rsidRDefault="00AE6662" w:rsidP="00AE6662">
            <w:pPr>
              <w:rPr>
                <w:sz w:val="21"/>
                <w:szCs w:val="21"/>
              </w:rPr>
            </w:pPr>
          </w:p>
        </w:tc>
      </w:tr>
      <w:tr w:rsidR="00AE6662" w:rsidRPr="00A0019E" w14:paraId="48EF7193" w14:textId="77777777" w:rsidTr="00AE6662">
        <w:trPr>
          <w:trHeight w:val="620"/>
        </w:trPr>
        <w:tc>
          <w:tcPr>
            <w:tcW w:w="1174" w:type="dxa"/>
            <w:shd w:val="clear" w:color="auto" w:fill="E7E6E6" w:themeFill="background2"/>
          </w:tcPr>
          <w:p w14:paraId="79137135" w14:textId="77777777" w:rsidR="00AE6662" w:rsidRPr="00A0019E" w:rsidRDefault="00AE6662" w:rsidP="00AE6662">
            <w:pPr>
              <w:rPr>
                <w:sz w:val="21"/>
                <w:szCs w:val="21"/>
              </w:rPr>
            </w:pPr>
          </w:p>
        </w:tc>
        <w:tc>
          <w:tcPr>
            <w:tcW w:w="8176" w:type="dxa"/>
            <w:gridSpan w:val="4"/>
            <w:shd w:val="clear" w:color="auto" w:fill="E7E6E6" w:themeFill="background2"/>
          </w:tcPr>
          <w:p w14:paraId="32D76ECC" w14:textId="77777777" w:rsidR="00AE6662" w:rsidRPr="00A0019E" w:rsidRDefault="00AE6662" w:rsidP="00AE6662">
            <w:pPr>
              <w:rPr>
                <w:b/>
                <w:sz w:val="21"/>
                <w:szCs w:val="21"/>
              </w:rPr>
            </w:pPr>
            <w:r w:rsidRPr="00A0019E">
              <w:rPr>
                <w:b/>
                <w:sz w:val="21"/>
                <w:szCs w:val="21"/>
              </w:rPr>
              <w:t>SUPPORTING DOCUMENTS REQUIRED</w:t>
            </w:r>
          </w:p>
          <w:p w14:paraId="72EB5381" w14:textId="0DC25092" w:rsidR="00AE6662" w:rsidRPr="00A0019E" w:rsidRDefault="00AE6662" w:rsidP="00AE6662">
            <w:pPr>
              <w:rPr>
                <w:sz w:val="21"/>
                <w:szCs w:val="21"/>
              </w:rPr>
            </w:pPr>
            <w:r w:rsidRPr="00A0019E">
              <w:rPr>
                <w:b/>
                <w:sz w:val="21"/>
                <w:szCs w:val="21"/>
              </w:rPr>
              <w:t>Reference name of separate document in right column.</w:t>
            </w:r>
          </w:p>
        </w:tc>
      </w:tr>
      <w:tr w:rsidR="00AE6662" w:rsidRPr="00A0019E" w14:paraId="63D8B496" w14:textId="77777777" w:rsidTr="00812FE7">
        <w:trPr>
          <w:trHeight w:val="620"/>
        </w:trPr>
        <w:tc>
          <w:tcPr>
            <w:tcW w:w="1174" w:type="dxa"/>
          </w:tcPr>
          <w:p w14:paraId="4A1321F2" w14:textId="77777777" w:rsidR="00AE6662" w:rsidRPr="00A0019E" w:rsidRDefault="00AE6662" w:rsidP="00AE6662">
            <w:pPr>
              <w:rPr>
                <w:sz w:val="21"/>
                <w:szCs w:val="21"/>
              </w:rPr>
            </w:pPr>
            <w:r w:rsidRPr="00A0019E">
              <w:rPr>
                <w:sz w:val="21"/>
                <w:szCs w:val="21"/>
              </w:rPr>
              <w:sym w:font="Wingdings" w:char="F06F"/>
            </w:r>
          </w:p>
        </w:tc>
        <w:tc>
          <w:tcPr>
            <w:tcW w:w="2338" w:type="dxa"/>
          </w:tcPr>
          <w:p w14:paraId="5B0A1522" w14:textId="77777777" w:rsidR="00AE6662" w:rsidRPr="00A0019E" w:rsidRDefault="00AE6662" w:rsidP="00AE6662">
            <w:pPr>
              <w:rPr>
                <w:sz w:val="21"/>
                <w:szCs w:val="21"/>
              </w:rPr>
            </w:pPr>
            <w:r w:rsidRPr="00A0019E">
              <w:rPr>
                <w:sz w:val="21"/>
                <w:szCs w:val="21"/>
              </w:rPr>
              <w:t>Statement of variables (SOV)</w:t>
            </w:r>
          </w:p>
        </w:tc>
        <w:tc>
          <w:tcPr>
            <w:tcW w:w="1387" w:type="dxa"/>
          </w:tcPr>
          <w:p w14:paraId="2CD9997C" w14:textId="77777777" w:rsidR="00AE6662" w:rsidRPr="00A0019E" w:rsidRDefault="00AE6662" w:rsidP="00AE6662">
            <w:pPr>
              <w:rPr>
                <w:sz w:val="21"/>
                <w:szCs w:val="21"/>
              </w:rPr>
            </w:pPr>
            <w:r w:rsidRPr="00A0019E">
              <w:rPr>
                <w:rStyle w:val="Hyperlink"/>
                <w:color w:val="auto"/>
                <w:sz w:val="21"/>
                <w:szCs w:val="21"/>
                <w:u w:val="none"/>
              </w:rPr>
              <w:t>NE Filing Requirement</w:t>
            </w:r>
          </w:p>
        </w:tc>
        <w:tc>
          <w:tcPr>
            <w:tcW w:w="3075" w:type="dxa"/>
          </w:tcPr>
          <w:p w14:paraId="2C5660FC" w14:textId="4067B2DB" w:rsidR="00AE6662" w:rsidRDefault="00AE6662" w:rsidP="00AE6662">
            <w:pPr>
              <w:rPr>
                <w:sz w:val="21"/>
                <w:szCs w:val="21"/>
              </w:rPr>
            </w:pPr>
            <w:r>
              <w:rPr>
                <w:rFonts w:ascii="Verdana" w:hAnsi="Verdana"/>
                <w:color w:val="000000"/>
                <w:sz w:val="17"/>
                <w:szCs w:val="17"/>
                <w:shd w:val="clear" w:color="auto" w:fill="FFFFFF"/>
              </w:rPr>
              <w:t>Any bracketed language must be explained in a Statement of Variability (SOV).</w:t>
            </w:r>
          </w:p>
          <w:p w14:paraId="32E2059C" w14:textId="05F30F51" w:rsidR="00AE6662" w:rsidRPr="00A0019E" w:rsidRDefault="00AE6662" w:rsidP="00AE6662">
            <w:pPr>
              <w:rPr>
                <w:sz w:val="21"/>
                <w:szCs w:val="21"/>
              </w:rPr>
            </w:pPr>
            <w:r>
              <w:rPr>
                <w:sz w:val="21"/>
                <w:szCs w:val="21"/>
              </w:rPr>
              <w:t>If phased in over multiple years, provide a different SOV for each year’s letter.</w:t>
            </w:r>
          </w:p>
        </w:tc>
        <w:tc>
          <w:tcPr>
            <w:tcW w:w="1376" w:type="dxa"/>
          </w:tcPr>
          <w:p w14:paraId="23FE0A2A" w14:textId="77777777" w:rsidR="00AE6662" w:rsidRPr="00A0019E" w:rsidRDefault="00AE6662" w:rsidP="00AE6662">
            <w:pPr>
              <w:rPr>
                <w:sz w:val="21"/>
                <w:szCs w:val="21"/>
              </w:rPr>
            </w:pPr>
          </w:p>
        </w:tc>
      </w:tr>
      <w:tr w:rsidR="00AE6662" w:rsidRPr="00A0019E" w14:paraId="28BA638A" w14:textId="77777777" w:rsidTr="008A0525">
        <w:tc>
          <w:tcPr>
            <w:tcW w:w="1174" w:type="dxa"/>
          </w:tcPr>
          <w:p w14:paraId="0B94DBB3" w14:textId="77777777" w:rsidR="00AE6662" w:rsidRPr="00A0019E" w:rsidRDefault="00AE6662" w:rsidP="00AE6662">
            <w:pPr>
              <w:rPr>
                <w:sz w:val="21"/>
                <w:szCs w:val="21"/>
              </w:rPr>
            </w:pPr>
            <w:r w:rsidRPr="00A0019E">
              <w:rPr>
                <w:sz w:val="21"/>
                <w:szCs w:val="21"/>
              </w:rPr>
              <w:sym w:font="Wingdings" w:char="F06F"/>
            </w:r>
          </w:p>
        </w:tc>
        <w:tc>
          <w:tcPr>
            <w:tcW w:w="2338" w:type="dxa"/>
          </w:tcPr>
          <w:p w14:paraId="68BD2982" w14:textId="77777777" w:rsidR="00AE6662" w:rsidRPr="00A0019E" w:rsidRDefault="00AE6662" w:rsidP="00AE6662">
            <w:pPr>
              <w:rPr>
                <w:sz w:val="21"/>
                <w:szCs w:val="21"/>
              </w:rPr>
            </w:pPr>
            <w:r w:rsidRPr="00A0019E">
              <w:rPr>
                <w:sz w:val="21"/>
                <w:szCs w:val="21"/>
              </w:rPr>
              <w:t xml:space="preserve">NE Filing Form </w:t>
            </w:r>
          </w:p>
        </w:tc>
        <w:tc>
          <w:tcPr>
            <w:tcW w:w="1387" w:type="dxa"/>
          </w:tcPr>
          <w:p w14:paraId="3BEE4501" w14:textId="77777777" w:rsidR="00AE6662" w:rsidRPr="00A0019E" w:rsidRDefault="00AE6662" w:rsidP="00AE6662">
            <w:pPr>
              <w:rPr>
                <w:sz w:val="21"/>
                <w:szCs w:val="21"/>
              </w:rPr>
            </w:pPr>
            <w:r w:rsidRPr="00A0019E">
              <w:rPr>
                <w:rStyle w:val="Hyperlink"/>
                <w:color w:val="auto"/>
                <w:sz w:val="21"/>
                <w:szCs w:val="21"/>
                <w:u w:val="none"/>
              </w:rPr>
              <w:t>NE Filing Requirement</w:t>
            </w:r>
          </w:p>
        </w:tc>
        <w:tc>
          <w:tcPr>
            <w:tcW w:w="3075" w:type="dxa"/>
          </w:tcPr>
          <w:p w14:paraId="3EDA1CF7" w14:textId="77777777" w:rsidR="00AE6662" w:rsidRPr="00A0019E" w:rsidRDefault="00AE6662" w:rsidP="00AE6662">
            <w:pPr>
              <w:rPr>
                <w:sz w:val="21"/>
                <w:szCs w:val="21"/>
              </w:rPr>
            </w:pPr>
            <w:r w:rsidRPr="00A0019E">
              <w:rPr>
                <w:sz w:val="21"/>
                <w:szCs w:val="21"/>
              </w:rPr>
              <w:t>Use page 2 for additional forms</w:t>
            </w:r>
          </w:p>
        </w:tc>
        <w:tc>
          <w:tcPr>
            <w:tcW w:w="1376" w:type="dxa"/>
          </w:tcPr>
          <w:p w14:paraId="50961542" w14:textId="77777777" w:rsidR="00AE6662" w:rsidRPr="00A0019E" w:rsidRDefault="00AE6662" w:rsidP="00AE6662">
            <w:pPr>
              <w:rPr>
                <w:sz w:val="21"/>
                <w:szCs w:val="21"/>
              </w:rPr>
            </w:pPr>
          </w:p>
        </w:tc>
      </w:tr>
      <w:tr w:rsidR="00AE6662" w:rsidRPr="00A0019E" w14:paraId="7C4F0C54" w14:textId="77777777" w:rsidTr="008A0525">
        <w:tc>
          <w:tcPr>
            <w:tcW w:w="1174" w:type="dxa"/>
          </w:tcPr>
          <w:p w14:paraId="6AEB64D7" w14:textId="2D94B27B" w:rsidR="00AE6662" w:rsidRPr="00A0019E" w:rsidRDefault="00BA3179" w:rsidP="00AE6662">
            <w:pPr>
              <w:rPr>
                <w:sz w:val="21"/>
                <w:szCs w:val="21"/>
              </w:rPr>
            </w:pPr>
            <w:r w:rsidRPr="00A0019E">
              <w:rPr>
                <w:sz w:val="21"/>
                <w:szCs w:val="21"/>
              </w:rPr>
              <w:sym w:font="Wingdings" w:char="F06F"/>
            </w:r>
          </w:p>
        </w:tc>
        <w:tc>
          <w:tcPr>
            <w:tcW w:w="2338" w:type="dxa"/>
          </w:tcPr>
          <w:p w14:paraId="638883C4" w14:textId="20CB21CF" w:rsidR="00AE6662" w:rsidRPr="00A0019E" w:rsidRDefault="00AE6662" w:rsidP="00AE6662">
            <w:pPr>
              <w:rPr>
                <w:sz w:val="21"/>
                <w:szCs w:val="21"/>
              </w:rPr>
            </w:pPr>
            <w:r>
              <w:rPr>
                <w:sz w:val="21"/>
                <w:szCs w:val="21"/>
              </w:rPr>
              <w:t>Education materials to be used within the company</w:t>
            </w:r>
          </w:p>
        </w:tc>
        <w:tc>
          <w:tcPr>
            <w:tcW w:w="1387" w:type="dxa"/>
          </w:tcPr>
          <w:p w14:paraId="0733D331" w14:textId="3FD0F8FF" w:rsidR="00AE6662" w:rsidRPr="00A0019E" w:rsidRDefault="00AE6662" w:rsidP="00AE6662">
            <w:pPr>
              <w:rPr>
                <w:rStyle w:val="Hyperlink"/>
                <w:color w:val="auto"/>
                <w:sz w:val="21"/>
                <w:szCs w:val="21"/>
                <w:u w:val="none"/>
              </w:rPr>
            </w:pPr>
            <w:r>
              <w:rPr>
                <w:sz w:val="21"/>
                <w:szCs w:val="21"/>
              </w:rPr>
              <w:t>NE Filing Requirement</w:t>
            </w:r>
          </w:p>
        </w:tc>
        <w:tc>
          <w:tcPr>
            <w:tcW w:w="3075" w:type="dxa"/>
          </w:tcPr>
          <w:p w14:paraId="6A39C23C" w14:textId="5C72A547" w:rsidR="00AE6662" w:rsidRPr="00A0019E" w:rsidRDefault="00AE6662" w:rsidP="00AE6662">
            <w:pPr>
              <w:rPr>
                <w:sz w:val="21"/>
                <w:szCs w:val="21"/>
              </w:rPr>
            </w:pPr>
            <w:r>
              <w:rPr>
                <w:sz w:val="21"/>
                <w:szCs w:val="21"/>
              </w:rPr>
              <w:t>Document listing the options available with this rate increase and provides details on each option.</w:t>
            </w:r>
          </w:p>
        </w:tc>
        <w:tc>
          <w:tcPr>
            <w:tcW w:w="1376" w:type="dxa"/>
          </w:tcPr>
          <w:p w14:paraId="44DD63EB" w14:textId="77777777" w:rsidR="00AE6662" w:rsidRPr="00A0019E" w:rsidRDefault="00AE6662" w:rsidP="00AE6662">
            <w:pPr>
              <w:rPr>
                <w:sz w:val="21"/>
                <w:szCs w:val="21"/>
              </w:rPr>
            </w:pPr>
          </w:p>
        </w:tc>
      </w:tr>
      <w:tr w:rsidR="00AE6662" w:rsidRPr="00A0019E" w14:paraId="6E4E3D81" w14:textId="77777777" w:rsidTr="00A43C25">
        <w:trPr>
          <w:trHeight w:val="5165"/>
        </w:trPr>
        <w:tc>
          <w:tcPr>
            <w:tcW w:w="1174" w:type="dxa"/>
          </w:tcPr>
          <w:p w14:paraId="27B80FCB" w14:textId="3C8FE09E" w:rsidR="00AE6662" w:rsidRPr="00A0019E" w:rsidRDefault="00BA3179" w:rsidP="00AE6662">
            <w:pPr>
              <w:rPr>
                <w:sz w:val="21"/>
                <w:szCs w:val="21"/>
              </w:rPr>
            </w:pPr>
            <w:r w:rsidRPr="00A0019E">
              <w:rPr>
                <w:sz w:val="21"/>
                <w:szCs w:val="21"/>
              </w:rPr>
              <w:sym w:font="Wingdings" w:char="F06F"/>
            </w:r>
          </w:p>
        </w:tc>
        <w:tc>
          <w:tcPr>
            <w:tcW w:w="2338" w:type="dxa"/>
          </w:tcPr>
          <w:p w14:paraId="5B42A182" w14:textId="2C6B7688" w:rsidR="00AE6662" w:rsidRDefault="00AE6662" w:rsidP="00AE6662">
            <w:pPr>
              <w:rPr>
                <w:sz w:val="21"/>
                <w:szCs w:val="21"/>
              </w:rPr>
            </w:pPr>
            <w:r>
              <w:rPr>
                <w:sz w:val="21"/>
                <w:szCs w:val="21"/>
              </w:rPr>
              <w:t>Rules about how the customer elects additional options using the phone or web address</w:t>
            </w:r>
          </w:p>
        </w:tc>
        <w:tc>
          <w:tcPr>
            <w:tcW w:w="1387" w:type="dxa"/>
          </w:tcPr>
          <w:p w14:paraId="263ACC00" w14:textId="0D29C131" w:rsidR="00AE6662" w:rsidRPr="00A0019E" w:rsidRDefault="00AE6662" w:rsidP="00AE6662">
            <w:pPr>
              <w:rPr>
                <w:rStyle w:val="Hyperlink"/>
                <w:color w:val="auto"/>
                <w:sz w:val="21"/>
                <w:szCs w:val="21"/>
                <w:u w:val="none"/>
              </w:rPr>
            </w:pPr>
            <w:r>
              <w:rPr>
                <w:sz w:val="21"/>
                <w:szCs w:val="21"/>
              </w:rPr>
              <w:t>NE Filing Requirement</w:t>
            </w:r>
          </w:p>
        </w:tc>
        <w:tc>
          <w:tcPr>
            <w:tcW w:w="3075" w:type="dxa"/>
          </w:tcPr>
          <w:p w14:paraId="38B0D253" w14:textId="31AEFC2D" w:rsidR="00AE6662" w:rsidRDefault="00AE6662" w:rsidP="00AE6662">
            <w:pPr>
              <w:rPr>
                <w:sz w:val="21"/>
                <w:szCs w:val="21"/>
              </w:rPr>
            </w:pPr>
            <w:r>
              <w:rPr>
                <w:sz w:val="21"/>
                <w:szCs w:val="21"/>
              </w:rPr>
              <w:t>The change form should contain a free form area for the consumer to describe what they decided based on the phone call.  Alternatively, a confirmation of the phone call with the change described must be sent to the insured to sign after the call, including a summary of options discussed, to ensure that a consumer does not make a serious mistake by writing in the wrong thing and signing the change form.</w:t>
            </w:r>
          </w:p>
        </w:tc>
        <w:tc>
          <w:tcPr>
            <w:tcW w:w="1376" w:type="dxa"/>
          </w:tcPr>
          <w:p w14:paraId="72818813" w14:textId="77777777" w:rsidR="00AE6662" w:rsidRPr="00A0019E" w:rsidRDefault="00AE6662" w:rsidP="00AE6662">
            <w:pPr>
              <w:rPr>
                <w:sz w:val="21"/>
                <w:szCs w:val="21"/>
              </w:rPr>
            </w:pPr>
          </w:p>
        </w:tc>
      </w:tr>
      <w:tr w:rsidR="00AE6662" w:rsidRPr="00A0019E" w14:paraId="7DEF1A74" w14:textId="77777777" w:rsidTr="00C80848">
        <w:tc>
          <w:tcPr>
            <w:tcW w:w="1174" w:type="dxa"/>
            <w:shd w:val="clear" w:color="auto" w:fill="E7E6E6" w:themeFill="background2"/>
          </w:tcPr>
          <w:p w14:paraId="11896174" w14:textId="77777777" w:rsidR="00AE6662" w:rsidRPr="00A0019E" w:rsidRDefault="00AE6662" w:rsidP="00AE6662">
            <w:pPr>
              <w:rPr>
                <w:b/>
                <w:sz w:val="21"/>
                <w:szCs w:val="21"/>
              </w:rPr>
            </w:pPr>
          </w:p>
        </w:tc>
        <w:tc>
          <w:tcPr>
            <w:tcW w:w="8176" w:type="dxa"/>
            <w:gridSpan w:val="4"/>
            <w:shd w:val="clear" w:color="auto" w:fill="E7E6E6" w:themeFill="background2"/>
          </w:tcPr>
          <w:p w14:paraId="5E6C5B15" w14:textId="77777777" w:rsidR="00AE6662" w:rsidRPr="00A0019E" w:rsidRDefault="00AE6662" w:rsidP="00AE6662">
            <w:pPr>
              <w:rPr>
                <w:b/>
                <w:sz w:val="21"/>
                <w:szCs w:val="21"/>
              </w:rPr>
            </w:pPr>
            <w:r w:rsidRPr="00A0019E">
              <w:rPr>
                <w:b/>
                <w:sz w:val="21"/>
                <w:szCs w:val="21"/>
              </w:rPr>
              <w:t>EXPLANATION FOR ANY ITEMS MARKED NOT APPLICABLE</w:t>
            </w:r>
          </w:p>
        </w:tc>
      </w:tr>
      <w:tr w:rsidR="00AE6662" w:rsidRPr="00A0019E" w14:paraId="165EEB8A" w14:textId="77777777" w:rsidTr="00A43C25">
        <w:trPr>
          <w:trHeight w:val="2033"/>
        </w:trPr>
        <w:tc>
          <w:tcPr>
            <w:tcW w:w="1174" w:type="dxa"/>
          </w:tcPr>
          <w:p w14:paraId="58D6CE93" w14:textId="76A8CF42" w:rsidR="00AE6662" w:rsidRPr="00A0019E" w:rsidRDefault="00BA3179" w:rsidP="00AE6662">
            <w:pPr>
              <w:rPr>
                <w:sz w:val="21"/>
                <w:szCs w:val="21"/>
              </w:rPr>
            </w:pPr>
            <w:r w:rsidRPr="00A0019E">
              <w:rPr>
                <w:sz w:val="21"/>
                <w:szCs w:val="21"/>
              </w:rPr>
              <w:sym w:font="Wingdings" w:char="F06F"/>
            </w:r>
          </w:p>
        </w:tc>
        <w:tc>
          <w:tcPr>
            <w:tcW w:w="8176" w:type="dxa"/>
            <w:gridSpan w:val="4"/>
          </w:tcPr>
          <w:p w14:paraId="43BFAFC0" w14:textId="77777777" w:rsidR="00AE6662" w:rsidRPr="00A0019E" w:rsidRDefault="00AE6662" w:rsidP="00AE6662">
            <w:pPr>
              <w:rPr>
                <w:sz w:val="21"/>
                <w:szCs w:val="21"/>
              </w:rPr>
            </w:pPr>
            <w:r w:rsidRPr="00A0019E">
              <w:rPr>
                <w:sz w:val="21"/>
                <w:szCs w:val="21"/>
              </w:rPr>
              <w:t>Please use this space provide an explanation for any checklist requirement marked “N/A” to avoid receiving an objection in SERFF.</w:t>
            </w:r>
          </w:p>
          <w:p w14:paraId="2BC62421" w14:textId="77777777" w:rsidR="00AE6662" w:rsidRPr="00A0019E" w:rsidRDefault="00AE6662" w:rsidP="00AE6662">
            <w:pPr>
              <w:rPr>
                <w:sz w:val="21"/>
                <w:szCs w:val="21"/>
              </w:rPr>
            </w:pPr>
          </w:p>
          <w:p w14:paraId="6B64D57C" w14:textId="77777777" w:rsidR="00AE6662" w:rsidRPr="00A0019E" w:rsidRDefault="00AE6662" w:rsidP="00AE6662">
            <w:pPr>
              <w:rPr>
                <w:sz w:val="21"/>
                <w:szCs w:val="21"/>
              </w:rPr>
            </w:pPr>
          </w:p>
        </w:tc>
      </w:tr>
    </w:tbl>
    <w:p w14:paraId="15893DDC" w14:textId="05D90EAB" w:rsidR="00F01915" w:rsidRDefault="00F01915">
      <w:pPr>
        <w:rPr>
          <w:rFonts w:ascii="Calibri" w:hAnsi="Calibri" w:cs="Calibri"/>
          <w:b/>
          <w:sz w:val="21"/>
          <w:szCs w:val="21"/>
          <w:u w:val="single"/>
        </w:rPr>
      </w:pPr>
    </w:p>
    <w:p w14:paraId="4D16CB2E" w14:textId="77777777" w:rsidR="00680237"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7E7D8EA1" w14:textId="77777777" w:rsidR="00F01915" w:rsidRPr="00A0019E" w:rsidRDefault="00F01915" w:rsidP="001270E9">
      <w:pPr>
        <w:spacing w:after="0"/>
        <w:rPr>
          <w:rFonts w:ascii="Calibri" w:hAnsi="Calibri" w:cs="Calibri"/>
          <w:b/>
          <w:sz w:val="21"/>
          <w:szCs w:val="21"/>
          <w:u w:val="single"/>
        </w:rPr>
      </w:pPr>
    </w:p>
    <w:p w14:paraId="31D5BE69" w14:textId="77777777"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 xml:space="preserve">iler, hereby certify that this filing complies with applicable Nebraska statutes, regulations, </w:t>
      </w:r>
      <w:proofErr w:type="gramStart"/>
      <w:r w:rsidRPr="00A0019E">
        <w:rPr>
          <w:sz w:val="21"/>
          <w:szCs w:val="21"/>
        </w:rPr>
        <w:t>Bulletins</w:t>
      </w:r>
      <w:proofErr w:type="gramEnd"/>
      <w:r w:rsidRPr="00A0019E">
        <w:rPr>
          <w:sz w:val="21"/>
          <w:szCs w:val="21"/>
        </w:rPr>
        <w:t xml:space="preserve"> and guidelines, to the best of my knowledge. This filing contains no unusual or controversial content according to insurance industry norms.  The forms included in this filing contain no unfair, unjust, inequitable, </w:t>
      </w:r>
      <w:proofErr w:type="gramStart"/>
      <w:r w:rsidRPr="00A0019E">
        <w:rPr>
          <w:sz w:val="21"/>
          <w:szCs w:val="21"/>
        </w:rPr>
        <w:t>misleading</w:t>
      </w:r>
      <w:proofErr w:type="gramEnd"/>
      <w:r w:rsidRPr="00A0019E">
        <w:rPr>
          <w:sz w:val="21"/>
          <w:szCs w:val="21"/>
        </w:rPr>
        <w:t xml:space="preserve"> or deceptive provisions or language. I am authorized to sign on behalf of the Company identified below.</w:t>
      </w:r>
    </w:p>
    <w:p w14:paraId="6FF688CD" w14:textId="77777777" w:rsidR="00C80848" w:rsidRPr="00A0019E" w:rsidRDefault="00C80848" w:rsidP="00680237">
      <w:pPr>
        <w:spacing w:after="0"/>
        <w:rPr>
          <w:sz w:val="21"/>
          <w:szCs w:val="21"/>
        </w:rPr>
      </w:pPr>
    </w:p>
    <w:p w14:paraId="5FEB0553" w14:textId="77777777" w:rsidR="005F7BF1" w:rsidRPr="00A0019E" w:rsidRDefault="005F7BF1" w:rsidP="00680237">
      <w:pPr>
        <w:spacing w:after="0"/>
        <w:rPr>
          <w:sz w:val="21"/>
          <w:szCs w:val="21"/>
        </w:rPr>
      </w:pPr>
    </w:p>
    <w:p w14:paraId="56382DDF" w14:textId="77777777"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4444B35B" w14:textId="77777777"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1AA180C1" w14:textId="77777777" w:rsidR="00680237" w:rsidRPr="00A0019E" w:rsidRDefault="00680237" w:rsidP="002A252D">
      <w:pPr>
        <w:spacing w:after="0" w:line="240" w:lineRule="auto"/>
        <w:rPr>
          <w:sz w:val="21"/>
          <w:szCs w:val="21"/>
        </w:rPr>
      </w:pPr>
    </w:p>
    <w:p w14:paraId="40D525A9" w14:textId="77777777" w:rsidR="005F7BF1" w:rsidRPr="00A0019E" w:rsidRDefault="005F7BF1" w:rsidP="002A252D">
      <w:pPr>
        <w:spacing w:after="0" w:line="240" w:lineRule="auto"/>
        <w:rPr>
          <w:sz w:val="21"/>
          <w:szCs w:val="21"/>
        </w:rPr>
      </w:pPr>
    </w:p>
    <w:p w14:paraId="4C128B0D" w14:textId="77777777"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4D4CFEF0" w14:textId="1EAF94C6" w:rsidR="005F7BF1" w:rsidRPr="00A0019E" w:rsidRDefault="00C80848" w:rsidP="00A73A23">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sectPr w:rsidR="005F7BF1" w:rsidRPr="00A001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E8BD" w14:textId="77777777" w:rsidR="00892AD3" w:rsidRDefault="00892AD3" w:rsidP="00B669E2">
      <w:pPr>
        <w:spacing w:after="0" w:line="240" w:lineRule="auto"/>
      </w:pPr>
      <w:r>
        <w:separator/>
      </w:r>
    </w:p>
  </w:endnote>
  <w:endnote w:type="continuationSeparator" w:id="0">
    <w:p w14:paraId="5FE2A3DC" w14:textId="77777777" w:rsidR="00892AD3" w:rsidRDefault="00892AD3"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27357C57" w14:textId="39F02307" w:rsidR="00AA6D99" w:rsidRDefault="00AA6D99">
        <w:pPr>
          <w:pStyle w:val="Footer"/>
          <w:jc w:val="right"/>
        </w:pPr>
        <w:r>
          <w:fldChar w:fldCharType="begin"/>
        </w:r>
        <w:r>
          <w:instrText xml:space="preserve"> PAGE   \* MERGEFORMAT </w:instrText>
        </w:r>
        <w:r>
          <w:fldChar w:fldCharType="separate"/>
        </w:r>
        <w:r w:rsidR="00AE6662">
          <w:rPr>
            <w:noProof/>
          </w:rPr>
          <w:t>8</w:t>
        </w:r>
        <w:r>
          <w:rPr>
            <w:noProof/>
          </w:rPr>
          <w:fldChar w:fldCharType="end"/>
        </w:r>
      </w:p>
    </w:sdtContent>
  </w:sdt>
  <w:p w14:paraId="49EFD6CB" w14:textId="77777777" w:rsidR="00B669E2" w:rsidRDefault="00694250">
    <w:pPr>
      <w:pStyle w:val="Footer"/>
    </w:pPr>
    <w:r w:rsidRPr="00694250">
      <w:t>S:\LIFNHLTH\BRAND NEW TEMPLATES</w:t>
    </w:r>
  </w:p>
  <w:p w14:paraId="111004A3" w14:textId="4569D8E5" w:rsidR="00694250" w:rsidRDefault="00694250">
    <w:pPr>
      <w:pStyle w:val="Footer"/>
    </w:pPr>
    <w:r>
      <w:t xml:space="preserve">Last Updated </w:t>
    </w:r>
    <w:proofErr w:type="gramStart"/>
    <w:r w:rsidR="000946E1">
      <w:t>3/4/2024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790E" w14:textId="77777777" w:rsidR="00892AD3" w:rsidRDefault="00892AD3" w:rsidP="00B669E2">
      <w:pPr>
        <w:spacing w:after="0" w:line="240" w:lineRule="auto"/>
      </w:pPr>
      <w:r>
        <w:separator/>
      </w:r>
    </w:p>
  </w:footnote>
  <w:footnote w:type="continuationSeparator" w:id="0">
    <w:p w14:paraId="209180F9" w14:textId="77777777" w:rsidR="00892AD3" w:rsidRDefault="00892AD3"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90AC" w14:textId="77777777" w:rsidR="006A03BD" w:rsidRDefault="00D85BAE" w:rsidP="006A03BD">
    <w:pPr>
      <w:spacing w:after="0"/>
      <w:jc w:val="center"/>
      <w:rPr>
        <w:b/>
      </w:rPr>
    </w:pPr>
    <w:r>
      <w:rPr>
        <w:b/>
      </w:rPr>
      <w:t>LONG-TERM CARE RATE INCREASE POLICYHOLDER LETTER</w:t>
    </w:r>
    <w:r w:rsidR="006A03BD" w:rsidRPr="0079382C">
      <w:rPr>
        <w:b/>
      </w:rPr>
      <w:t xml:space="preserve"> </w:t>
    </w:r>
    <w:r w:rsidR="006A03BD">
      <w:rPr>
        <w:b/>
      </w:rPr>
      <w:t>CHECKLIST</w:t>
    </w:r>
  </w:p>
  <w:p w14:paraId="1C9DE131" w14:textId="77777777" w:rsidR="006A03BD" w:rsidRDefault="006A03BD">
    <w:pPr>
      <w:pStyle w:val="Header"/>
    </w:pPr>
  </w:p>
  <w:p w14:paraId="6FD4CBF2" w14:textId="77777777" w:rsidR="006A03BD" w:rsidRDefault="006A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567516">
    <w:abstractNumId w:val="1"/>
  </w:num>
  <w:num w:numId="2" w16cid:durableId="1563827472">
    <w:abstractNumId w:val="4"/>
  </w:num>
  <w:num w:numId="3" w16cid:durableId="1935241824">
    <w:abstractNumId w:val="0"/>
  </w:num>
  <w:num w:numId="4" w16cid:durableId="684130826">
    <w:abstractNumId w:val="3"/>
  </w:num>
  <w:num w:numId="5" w16cid:durableId="757947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12299"/>
    <w:rsid w:val="000132B0"/>
    <w:rsid w:val="00014A46"/>
    <w:rsid w:val="000245F0"/>
    <w:rsid w:val="000261E8"/>
    <w:rsid w:val="000270E2"/>
    <w:rsid w:val="00030783"/>
    <w:rsid w:val="0003086C"/>
    <w:rsid w:val="00031AC9"/>
    <w:rsid w:val="00036068"/>
    <w:rsid w:val="00051AA9"/>
    <w:rsid w:val="00051B63"/>
    <w:rsid w:val="00051BE1"/>
    <w:rsid w:val="00070097"/>
    <w:rsid w:val="00077FF9"/>
    <w:rsid w:val="0008026E"/>
    <w:rsid w:val="00086095"/>
    <w:rsid w:val="000927A3"/>
    <w:rsid w:val="000946E1"/>
    <w:rsid w:val="00094A7E"/>
    <w:rsid w:val="0009607E"/>
    <w:rsid w:val="000A1182"/>
    <w:rsid w:val="000A4A79"/>
    <w:rsid w:val="000A5C0F"/>
    <w:rsid w:val="000A77AB"/>
    <w:rsid w:val="000B0055"/>
    <w:rsid w:val="000B04E1"/>
    <w:rsid w:val="000B0D03"/>
    <w:rsid w:val="000B2816"/>
    <w:rsid w:val="000B4340"/>
    <w:rsid w:val="000C31C2"/>
    <w:rsid w:val="000C3E33"/>
    <w:rsid w:val="000C3FC3"/>
    <w:rsid w:val="000D085E"/>
    <w:rsid w:val="000D2163"/>
    <w:rsid w:val="000D4D13"/>
    <w:rsid w:val="000E2395"/>
    <w:rsid w:val="000E3018"/>
    <w:rsid w:val="000E5645"/>
    <w:rsid w:val="000F0989"/>
    <w:rsid w:val="000F1822"/>
    <w:rsid w:val="000F29D5"/>
    <w:rsid w:val="00103277"/>
    <w:rsid w:val="00110121"/>
    <w:rsid w:val="001142D4"/>
    <w:rsid w:val="00122715"/>
    <w:rsid w:val="001259B6"/>
    <w:rsid w:val="001270E9"/>
    <w:rsid w:val="00133D9D"/>
    <w:rsid w:val="0013479D"/>
    <w:rsid w:val="001371E2"/>
    <w:rsid w:val="001379F9"/>
    <w:rsid w:val="00137D53"/>
    <w:rsid w:val="00142D69"/>
    <w:rsid w:val="00145141"/>
    <w:rsid w:val="00151F62"/>
    <w:rsid w:val="00154FD5"/>
    <w:rsid w:val="00155A53"/>
    <w:rsid w:val="001569FA"/>
    <w:rsid w:val="00157603"/>
    <w:rsid w:val="00157DBD"/>
    <w:rsid w:val="0016068C"/>
    <w:rsid w:val="00160C55"/>
    <w:rsid w:val="00165FEC"/>
    <w:rsid w:val="001702E4"/>
    <w:rsid w:val="001903C9"/>
    <w:rsid w:val="00190E4A"/>
    <w:rsid w:val="0019245B"/>
    <w:rsid w:val="00192D39"/>
    <w:rsid w:val="001978FF"/>
    <w:rsid w:val="001C09C5"/>
    <w:rsid w:val="001D3F37"/>
    <w:rsid w:val="001D44FD"/>
    <w:rsid w:val="001D67E8"/>
    <w:rsid w:val="001D6849"/>
    <w:rsid w:val="001E36D8"/>
    <w:rsid w:val="001E4428"/>
    <w:rsid w:val="001F4471"/>
    <w:rsid w:val="00200DF5"/>
    <w:rsid w:val="00200EC2"/>
    <w:rsid w:val="00203CF3"/>
    <w:rsid w:val="0020525B"/>
    <w:rsid w:val="002056DD"/>
    <w:rsid w:val="00211057"/>
    <w:rsid w:val="00225605"/>
    <w:rsid w:val="00232822"/>
    <w:rsid w:val="002341F2"/>
    <w:rsid w:val="00243B70"/>
    <w:rsid w:val="00250A9D"/>
    <w:rsid w:val="00253478"/>
    <w:rsid w:val="002534AD"/>
    <w:rsid w:val="0025503C"/>
    <w:rsid w:val="00256CB5"/>
    <w:rsid w:val="00257A70"/>
    <w:rsid w:val="002640AF"/>
    <w:rsid w:val="00267D4A"/>
    <w:rsid w:val="002714C4"/>
    <w:rsid w:val="002719F6"/>
    <w:rsid w:val="00273E97"/>
    <w:rsid w:val="0028066D"/>
    <w:rsid w:val="0028125B"/>
    <w:rsid w:val="00281A7B"/>
    <w:rsid w:val="0028316D"/>
    <w:rsid w:val="002867B8"/>
    <w:rsid w:val="00287B02"/>
    <w:rsid w:val="002936C1"/>
    <w:rsid w:val="00294778"/>
    <w:rsid w:val="00295A59"/>
    <w:rsid w:val="00296BA4"/>
    <w:rsid w:val="002A252D"/>
    <w:rsid w:val="002B0040"/>
    <w:rsid w:val="002B19AE"/>
    <w:rsid w:val="002B2D74"/>
    <w:rsid w:val="002B5B4A"/>
    <w:rsid w:val="002B797B"/>
    <w:rsid w:val="002C3C3B"/>
    <w:rsid w:val="002C72C4"/>
    <w:rsid w:val="002C7E89"/>
    <w:rsid w:val="002C7EAE"/>
    <w:rsid w:val="002D044A"/>
    <w:rsid w:val="002E6950"/>
    <w:rsid w:val="002E6DB2"/>
    <w:rsid w:val="002F13F7"/>
    <w:rsid w:val="002F3D72"/>
    <w:rsid w:val="00302C5F"/>
    <w:rsid w:val="003043F2"/>
    <w:rsid w:val="00305802"/>
    <w:rsid w:val="003076B7"/>
    <w:rsid w:val="00307A2C"/>
    <w:rsid w:val="00310458"/>
    <w:rsid w:val="003157F5"/>
    <w:rsid w:val="00315CBE"/>
    <w:rsid w:val="003214E0"/>
    <w:rsid w:val="00343FA3"/>
    <w:rsid w:val="003442EC"/>
    <w:rsid w:val="003503B7"/>
    <w:rsid w:val="00351597"/>
    <w:rsid w:val="00352F72"/>
    <w:rsid w:val="0036220C"/>
    <w:rsid w:val="00363A73"/>
    <w:rsid w:val="0037091C"/>
    <w:rsid w:val="00370BB2"/>
    <w:rsid w:val="00371EBE"/>
    <w:rsid w:val="00374257"/>
    <w:rsid w:val="0039113D"/>
    <w:rsid w:val="00392EBD"/>
    <w:rsid w:val="00393390"/>
    <w:rsid w:val="00397522"/>
    <w:rsid w:val="003A1466"/>
    <w:rsid w:val="003A28D7"/>
    <w:rsid w:val="003A30EA"/>
    <w:rsid w:val="003A3818"/>
    <w:rsid w:val="003B4067"/>
    <w:rsid w:val="003B54E2"/>
    <w:rsid w:val="003B603D"/>
    <w:rsid w:val="003B69A0"/>
    <w:rsid w:val="003C161D"/>
    <w:rsid w:val="003C4015"/>
    <w:rsid w:val="003C6597"/>
    <w:rsid w:val="003D4FE8"/>
    <w:rsid w:val="003E5ADF"/>
    <w:rsid w:val="003F41A2"/>
    <w:rsid w:val="003F4A20"/>
    <w:rsid w:val="003F6CBE"/>
    <w:rsid w:val="00401737"/>
    <w:rsid w:val="00405353"/>
    <w:rsid w:val="00412636"/>
    <w:rsid w:val="004136CF"/>
    <w:rsid w:val="00424670"/>
    <w:rsid w:val="0042568C"/>
    <w:rsid w:val="00426893"/>
    <w:rsid w:val="0043342D"/>
    <w:rsid w:val="00440525"/>
    <w:rsid w:val="00441D1B"/>
    <w:rsid w:val="00444B1F"/>
    <w:rsid w:val="00446769"/>
    <w:rsid w:val="00450486"/>
    <w:rsid w:val="004529A8"/>
    <w:rsid w:val="004549BF"/>
    <w:rsid w:val="00461270"/>
    <w:rsid w:val="00463AAA"/>
    <w:rsid w:val="00465DCD"/>
    <w:rsid w:val="00467A18"/>
    <w:rsid w:val="00470B62"/>
    <w:rsid w:val="00472737"/>
    <w:rsid w:val="00475058"/>
    <w:rsid w:val="004753F3"/>
    <w:rsid w:val="0047768D"/>
    <w:rsid w:val="004823E2"/>
    <w:rsid w:val="00483C99"/>
    <w:rsid w:val="0049100A"/>
    <w:rsid w:val="004B137E"/>
    <w:rsid w:val="004B333B"/>
    <w:rsid w:val="004C3425"/>
    <w:rsid w:val="004C4FC7"/>
    <w:rsid w:val="004E289E"/>
    <w:rsid w:val="004E5D92"/>
    <w:rsid w:val="004E696A"/>
    <w:rsid w:val="004F3807"/>
    <w:rsid w:val="00502735"/>
    <w:rsid w:val="00505563"/>
    <w:rsid w:val="005077D6"/>
    <w:rsid w:val="0051273A"/>
    <w:rsid w:val="0051627D"/>
    <w:rsid w:val="005205B1"/>
    <w:rsid w:val="00521B3F"/>
    <w:rsid w:val="0052263E"/>
    <w:rsid w:val="00525466"/>
    <w:rsid w:val="005270EA"/>
    <w:rsid w:val="00532DBA"/>
    <w:rsid w:val="0054036B"/>
    <w:rsid w:val="005426BA"/>
    <w:rsid w:val="00550313"/>
    <w:rsid w:val="005516C3"/>
    <w:rsid w:val="00554098"/>
    <w:rsid w:val="005560D9"/>
    <w:rsid w:val="00565A21"/>
    <w:rsid w:val="005717C1"/>
    <w:rsid w:val="00571E61"/>
    <w:rsid w:val="00572EB0"/>
    <w:rsid w:val="00577543"/>
    <w:rsid w:val="0058514F"/>
    <w:rsid w:val="005A6908"/>
    <w:rsid w:val="005A7901"/>
    <w:rsid w:val="005B34DC"/>
    <w:rsid w:val="005C1CA5"/>
    <w:rsid w:val="005C2E91"/>
    <w:rsid w:val="005C5483"/>
    <w:rsid w:val="005C7183"/>
    <w:rsid w:val="005D0531"/>
    <w:rsid w:val="005D0D06"/>
    <w:rsid w:val="005D5710"/>
    <w:rsid w:val="005F13A7"/>
    <w:rsid w:val="005F7BF1"/>
    <w:rsid w:val="006028B8"/>
    <w:rsid w:val="0060705E"/>
    <w:rsid w:val="0062065A"/>
    <w:rsid w:val="00621288"/>
    <w:rsid w:val="00621E37"/>
    <w:rsid w:val="006365CB"/>
    <w:rsid w:val="006401B6"/>
    <w:rsid w:val="00643273"/>
    <w:rsid w:val="006453D3"/>
    <w:rsid w:val="006705F3"/>
    <w:rsid w:val="00672A97"/>
    <w:rsid w:val="006737CA"/>
    <w:rsid w:val="00676705"/>
    <w:rsid w:val="006772E9"/>
    <w:rsid w:val="0067782C"/>
    <w:rsid w:val="006778E8"/>
    <w:rsid w:val="00680237"/>
    <w:rsid w:val="00684C35"/>
    <w:rsid w:val="0068647F"/>
    <w:rsid w:val="00687A81"/>
    <w:rsid w:val="006934AF"/>
    <w:rsid w:val="00694250"/>
    <w:rsid w:val="00694AA6"/>
    <w:rsid w:val="00695F1C"/>
    <w:rsid w:val="006A03BD"/>
    <w:rsid w:val="006B2B76"/>
    <w:rsid w:val="006B3641"/>
    <w:rsid w:val="006B7CD3"/>
    <w:rsid w:val="006C01CD"/>
    <w:rsid w:val="006C413B"/>
    <w:rsid w:val="006C5887"/>
    <w:rsid w:val="006C7475"/>
    <w:rsid w:val="006D10A1"/>
    <w:rsid w:val="006D2990"/>
    <w:rsid w:val="006D32B7"/>
    <w:rsid w:val="006D44A2"/>
    <w:rsid w:val="006E6090"/>
    <w:rsid w:val="006E7265"/>
    <w:rsid w:val="006E7B1E"/>
    <w:rsid w:val="006F0075"/>
    <w:rsid w:val="006F1D3B"/>
    <w:rsid w:val="006F32A5"/>
    <w:rsid w:val="00705492"/>
    <w:rsid w:val="00706C6D"/>
    <w:rsid w:val="00715433"/>
    <w:rsid w:val="00720E6D"/>
    <w:rsid w:val="007225A0"/>
    <w:rsid w:val="0072317B"/>
    <w:rsid w:val="00734333"/>
    <w:rsid w:val="00734464"/>
    <w:rsid w:val="007358DC"/>
    <w:rsid w:val="00740461"/>
    <w:rsid w:val="007415E8"/>
    <w:rsid w:val="00742A30"/>
    <w:rsid w:val="00745B32"/>
    <w:rsid w:val="00745D54"/>
    <w:rsid w:val="0074644B"/>
    <w:rsid w:val="0075442A"/>
    <w:rsid w:val="0076350D"/>
    <w:rsid w:val="0076754F"/>
    <w:rsid w:val="00767A01"/>
    <w:rsid w:val="00771B04"/>
    <w:rsid w:val="00771DE9"/>
    <w:rsid w:val="007906C4"/>
    <w:rsid w:val="0079382C"/>
    <w:rsid w:val="00796D1D"/>
    <w:rsid w:val="007A0F89"/>
    <w:rsid w:val="007A107E"/>
    <w:rsid w:val="007B0AFB"/>
    <w:rsid w:val="007B3ED9"/>
    <w:rsid w:val="007B70E8"/>
    <w:rsid w:val="007C3119"/>
    <w:rsid w:val="007C5EAF"/>
    <w:rsid w:val="007F0116"/>
    <w:rsid w:val="007F1B84"/>
    <w:rsid w:val="007F4655"/>
    <w:rsid w:val="007F5D2C"/>
    <w:rsid w:val="007F616C"/>
    <w:rsid w:val="00800094"/>
    <w:rsid w:val="00801FB2"/>
    <w:rsid w:val="00802D80"/>
    <w:rsid w:val="008037DF"/>
    <w:rsid w:val="00806691"/>
    <w:rsid w:val="008112C4"/>
    <w:rsid w:val="00812FE7"/>
    <w:rsid w:val="00813F46"/>
    <w:rsid w:val="0081674F"/>
    <w:rsid w:val="00817D04"/>
    <w:rsid w:val="00825742"/>
    <w:rsid w:val="0083088A"/>
    <w:rsid w:val="00836CFD"/>
    <w:rsid w:val="00837812"/>
    <w:rsid w:val="00840AA8"/>
    <w:rsid w:val="00844C7D"/>
    <w:rsid w:val="00851B3E"/>
    <w:rsid w:val="0085660B"/>
    <w:rsid w:val="00860B00"/>
    <w:rsid w:val="00860B39"/>
    <w:rsid w:val="0086547D"/>
    <w:rsid w:val="00875414"/>
    <w:rsid w:val="00875FEC"/>
    <w:rsid w:val="00883A58"/>
    <w:rsid w:val="00892AD3"/>
    <w:rsid w:val="008954CD"/>
    <w:rsid w:val="0089570F"/>
    <w:rsid w:val="00896CB3"/>
    <w:rsid w:val="008A0525"/>
    <w:rsid w:val="008A07F3"/>
    <w:rsid w:val="008A1E1C"/>
    <w:rsid w:val="008A3C4A"/>
    <w:rsid w:val="008A509E"/>
    <w:rsid w:val="008B2DC7"/>
    <w:rsid w:val="008B720F"/>
    <w:rsid w:val="008C41AD"/>
    <w:rsid w:val="008D46B5"/>
    <w:rsid w:val="008E0E6F"/>
    <w:rsid w:val="008E2B69"/>
    <w:rsid w:val="008F1F4A"/>
    <w:rsid w:val="008F263E"/>
    <w:rsid w:val="008F3344"/>
    <w:rsid w:val="008F4DA9"/>
    <w:rsid w:val="00900173"/>
    <w:rsid w:val="00902489"/>
    <w:rsid w:val="009046C3"/>
    <w:rsid w:val="009050CF"/>
    <w:rsid w:val="00910486"/>
    <w:rsid w:val="00933C8D"/>
    <w:rsid w:val="00936466"/>
    <w:rsid w:val="00936F4C"/>
    <w:rsid w:val="009438F5"/>
    <w:rsid w:val="0094510B"/>
    <w:rsid w:val="0097428F"/>
    <w:rsid w:val="009744B5"/>
    <w:rsid w:val="00976E04"/>
    <w:rsid w:val="009818B4"/>
    <w:rsid w:val="009826C0"/>
    <w:rsid w:val="00987451"/>
    <w:rsid w:val="00991B10"/>
    <w:rsid w:val="00991B8B"/>
    <w:rsid w:val="009938AD"/>
    <w:rsid w:val="00994E75"/>
    <w:rsid w:val="0099729E"/>
    <w:rsid w:val="009A236C"/>
    <w:rsid w:val="009B0BC6"/>
    <w:rsid w:val="009B1611"/>
    <w:rsid w:val="009B423E"/>
    <w:rsid w:val="009B4351"/>
    <w:rsid w:val="009B56E2"/>
    <w:rsid w:val="009B5720"/>
    <w:rsid w:val="009C1DF2"/>
    <w:rsid w:val="009C7370"/>
    <w:rsid w:val="009C7C37"/>
    <w:rsid w:val="009D11E6"/>
    <w:rsid w:val="009E273B"/>
    <w:rsid w:val="009E3932"/>
    <w:rsid w:val="009F1745"/>
    <w:rsid w:val="00A0019E"/>
    <w:rsid w:val="00A1464A"/>
    <w:rsid w:val="00A148FD"/>
    <w:rsid w:val="00A153FF"/>
    <w:rsid w:val="00A17C13"/>
    <w:rsid w:val="00A2052D"/>
    <w:rsid w:val="00A27F81"/>
    <w:rsid w:val="00A37692"/>
    <w:rsid w:val="00A43C25"/>
    <w:rsid w:val="00A46178"/>
    <w:rsid w:val="00A576F6"/>
    <w:rsid w:val="00A63260"/>
    <w:rsid w:val="00A67B17"/>
    <w:rsid w:val="00A71757"/>
    <w:rsid w:val="00A73A23"/>
    <w:rsid w:val="00A75D3F"/>
    <w:rsid w:val="00A827F9"/>
    <w:rsid w:val="00A833BC"/>
    <w:rsid w:val="00A900E1"/>
    <w:rsid w:val="00A97FB9"/>
    <w:rsid w:val="00AA06CB"/>
    <w:rsid w:val="00AA6423"/>
    <w:rsid w:val="00AA6D99"/>
    <w:rsid w:val="00AB150F"/>
    <w:rsid w:val="00AB6741"/>
    <w:rsid w:val="00AB78BA"/>
    <w:rsid w:val="00AC218B"/>
    <w:rsid w:val="00AC25E9"/>
    <w:rsid w:val="00AC2A51"/>
    <w:rsid w:val="00AD3846"/>
    <w:rsid w:val="00AD54A9"/>
    <w:rsid w:val="00AE6662"/>
    <w:rsid w:val="00AF1AD9"/>
    <w:rsid w:val="00B1231A"/>
    <w:rsid w:val="00B217FF"/>
    <w:rsid w:val="00B250B2"/>
    <w:rsid w:val="00B32380"/>
    <w:rsid w:val="00B36946"/>
    <w:rsid w:val="00B40882"/>
    <w:rsid w:val="00B46A2F"/>
    <w:rsid w:val="00B50D9A"/>
    <w:rsid w:val="00B545BE"/>
    <w:rsid w:val="00B54EFA"/>
    <w:rsid w:val="00B621ED"/>
    <w:rsid w:val="00B66415"/>
    <w:rsid w:val="00B669E2"/>
    <w:rsid w:val="00B768D9"/>
    <w:rsid w:val="00B85472"/>
    <w:rsid w:val="00B93643"/>
    <w:rsid w:val="00B93A5E"/>
    <w:rsid w:val="00B976A6"/>
    <w:rsid w:val="00BA199F"/>
    <w:rsid w:val="00BA2CAC"/>
    <w:rsid w:val="00BA2F22"/>
    <w:rsid w:val="00BA3179"/>
    <w:rsid w:val="00BA5CE9"/>
    <w:rsid w:val="00BA637A"/>
    <w:rsid w:val="00BA6FA9"/>
    <w:rsid w:val="00BB5C2C"/>
    <w:rsid w:val="00BC1673"/>
    <w:rsid w:val="00BC1EAF"/>
    <w:rsid w:val="00BC24B3"/>
    <w:rsid w:val="00BC3756"/>
    <w:rsid w:val="00BC5003"/>
    <w:rsid w:val="00BC6B76"/>
    <w:rsid w:val="00BD0BBB"/>
    <w:rsid w:val="00BD4016"/>
    <w:rsid w:val="00BE36FC"/>
    <w:rsid w:val="00BE5F8E"/>
    <w:rsid w:val="00BE78B3"/>
    <w:rsid w:val="00BF7D68"/>
    <w:rsid w:val="00C104DE"/>
    <w:rsid w:val="00C10C85"/>
    <w:rsid w:val="00C2199F"/>
    <w:rsid w:val="00C25447"/>
    <w:rsid w:val="00C31FC8"/>
    <w:rsid w:val="00C4104F"/>
    <w:rsid w:val="00C41B7F"/>
    <w:rsid w:val="00C46F6F"/>
    <w:rsid w:val="00C47A75"/>
    <w:rsid w:val="00C50B45"/>
    <w:rsid w:val="00C53862"/>
    <w:rsid w:val="00C56218"/>
    <w:rsid w:val="00C571E0"/>
    <w:rsid w:val="00C628C0"/>
    <w:rsid w:val="00C67B5E"/>
    <w:rsid w:val="00C705FB"/>
    <w:rsid w:val="00C73575"/>
    <w:rsid w:val="00C76EDA"/>
    <w:rsid w:val="00C80848"/>
    <w:rsid w:val="00C80B67"/>
    <w:rsid w:val="00C839BE"/>
    <w:rsid w:val="00C90A5A"/>
    <w:rsid w:val="00C91E48"/>
    <w:rsid w:val="00C962CA"/>
    <w:rsid w:val="00CA483D"/>
    <w:rsid w:val="00CA5A4B"/>
    <w:rsid w:val="00CA67CC"/>
    <w:rsid w:val="00CA6DA1"/>
    <w:rsid w:val="00CC61D1"/>
    <w:rsid w:val="00CD5310"/>
    <w:rsid w:val="00CD64D2"/>
    <w:rsid w:val="00CF4E4A"/>
    <w:rsid w:val="00CF6E1F"/>
    <w:rsid w:val="00CF6E87"/>
    <w:rsid w:val="00D0137F"/>
    <w:rsid w:val="00D01A61"/>
    <w:rsid w:val="00D01D29"/>
    <w:rsid w:val="00D03453"/>
    <w:rsid w:val="00D07A14"/>
    <w:rsid w:val="00D20A27"/>
    <w:rsid w:val="00D23089"/>
    <w:rsid w:val="00D24E95"/>
    <w:rsid w:val="00D26C8A"/>
    <w:rsid w:val="00D27812"/>
    <w:rsid w:val="00D31D47"/>
    <w:rsid w:val="00D32E36"/>
    <w:rsid w:val="00D373E6"/>
    <w:rsid w:val="00D40751"/>
    <w:rsid w:val="00D413CF"/>
    <w:rsid w:val="00D42751"/>
    <w:rsid w:val="00D44772"/>
    <w:rsid w:val="00D45122"/>
    <w:rsid w:val="00D50088"/>
    <w:rsid w:val="00D51ECA"/>
    <w:rsid w:val="00D549A2"/>
    <w:rsid w:val="00D61371"/>
    <w:rsid w:val="00D67B72"/>
    <w:rsid w:val="00D73DB9"/>
    <w:rsid w:val="00D750EC"/>
    <w:rsid w:val="00D752BB"/>
    <w:rsid w:val="00D75DF1"/>
    <w:rsid w:val="00D76D11"/>
    <w:rsid w:val="00D85BAE"/>
    <w:rsid w:val="00D86A8A"/>
    <w:rsid w:val="00D91F8B"/>
    <w:rsid w:val="00D93D07"/>
    <w:rsid w:val="00D9696C"/>
    <w:rsid w:val="00DA20D7"/>
    <w:rsid w:val="00DA4C10"/>
    <w:rsid w:val="00DA5698"/>
    <w:rsid w:val="00DA5768"/>
    <w:rsid w:val="00DB3DD4"/>
    <w:rsid w:val="00DB505A"/>
    <w:rsid w:val="00DC3D18"/>
    <w:rsid w:val="00DC545C"/>
    <w:rsid w:val="00DC5BA6"/>
    <w:rsid w:val="00DC5C03"/>
    <w:rsid w:val="00DC77DF"/>
    <w:rsid w:val="00DC7DF8"/>
    <w:rsid w:val="00DD0456"/>
    <w:rsid w:val="00DD0F47"/>
    <w:rsid w:val="00DD1313"/>
    <w:rsid w:val="00DD2784"/>
    <w:rsid w:val="00DE0C9B"/>
    <w:rsid w:val="00DE2435"/>
    <w:rsid w:val="00DE7742"/>
    <w:rsid w:val="00DF0928"/>
    <w:rsid w:val="00DF2D2A"/>
    <w:rsid w:val="00DF4B03"/>
    <w:rsid w:val="00DF7553"/>
    <w:rsid w:val="00DF7998"/>
    <w:rsid w:val="00E01D0E"/>
    <w:rsid w:val="00E1193D"/>
    <w:rsid w:val="00E12BC6"/>
    <w:rsid w:val="00E167EA"/>
    <w:rsid w:val="00E17DDB"/>
    <w:rsid w:val="00E20A68"/>
    <w:rsid w:val="00E35EA9"/>
    <w:rsid w:val="00E42BAD"/>
    <w:rsid w:val="00E45BC5"/>
    <w:rsid w:val="00E51A3B"/>
    <w:rsid w:val="00E5604F"/>
    <w:rsid w:val="00E57675"/>
    <w:rsid w:val="00E61A1A"/>
    <w:rsid w:val="00E74538"/>
    <w:rsid w:val="00E751E1"/>
    <w:rsid w:val="00E765C6"/>
    <w:rsid w:val="00E82F67"/>
    <w:rsid w:val="00E85701"/>
    <w:rsid w:val="00E87B9C"/>
    <w:rsid w:val="00E90132"/>
    <w:rsid w:val="00EA29CE"/>
    <w:rsid w:val="00EA3339"/>
    <w:rsid w:val="00EA3A3C"/>
    <w:rsid w:val="00EA7621"/>
    <w:rsid w:val="00EB40C5"/>
    <w:rsid w:val="00EB52ED"/>
    <w:rsid w:val="00EC329C"/>
    <w:rsid w:val="00ED1AE0"/>
    <w:rsid w:val="00ED2C0A"/>
    <w:rsid w:val="00ED5C0F"/>
    <w:rsid w:val="00EE2353"/>
    <w:rsid w:val="00EE4861"/>
    <w:rsid w:val="00EF7AE7"/>
    <w:rsid w:val="00F014EC"/>
    <w:rsid w:val="00F01915"/>
    <w:rsid w:val="00F038CC"/>
    <w:rsid w:val="00F07AFF"/>
    <w:rsid w:val="00F2244D"/>
    <w:rsid w:val="00F27E91"/>
    <w:rsid w:val="00F31F27"/>
    <w:rsid w:val="00F34E7D"/>
    <w:rsid w:val="00F367EF"/>
    <w:rsid w:val="00F36AB6"/>
    <w:rsid w:val="00F419D2"/>
    <w:rsid w:val="00F52DC9"/>
    <w:rsid w:val="00F5307C"/>
    <w:rsid w:val="00F75831"/>
    <w:rsid w:val="00F83457"/>
    <w:rsid w:val="00F83FC3"/>
    <w:rsid w:val="00F84FAE"/>
    <w:rsid w:val="00F8673D"/>
    <w:rsid w:val="00F87327"/>
    <w:rsid w:val="00FA1340"/>
    <w:rsid w:val="00FA2435"/>
    <w:rsid w:val="00FA6495"/>
    <w:rsid w:val="00FC3224"/>
    <w:rsid w:val="00FC56AA"/>
    <w:rsid w:val="00FC7071"/>
    <w:rsid w:val="00FD04F1"/>
    <w:rsid w:val="00FD355E"/>
    <w:rsid w:val="00FD480A"/>
    <w:rsid w:val="00FD5BAC"/>
    <w:rsid w:val="00FE50F3"/>
    <w:rsid w:val="00FF2E53"/>
    <w:rsid w:val="00FF4DCE"/>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D73A"/>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79A7-4E54-4746-882A-DF24BFC6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Reinert, Maggie;lisa.MariscalJohnsen@nebraska.gov</dc:creator>
  <cp:keywords/>
  <dc:description/>
  <cp:lastModifiedBy>Reinert, Maggie</cp:lastModifiedBy>
  <cp:revision>5</cp:revision>
  <cp:lastPrinted>2020-01-24T15:48:00Z</cp:lastPrinted>
  <dcterms:created xsi:type="dcterms:W3CDTF">2024-03-05T15:37:00Z</dcterms:created>
  <dcterms:modified xsi:type="dcterms:W3CDTF">2024-03-05T16:12:00Z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