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0ACF" w14:textId="2EC4CBCF" w:rsidR="009938AD" w:rsidRDefault="00A0019E" w:rsidP="009938AD">
      <w:pPr>
        <w:jc w:val="center"/>
        <w:rPr>
          <w:sz w:val="21"/>
          <w:szCs w:val="21"/>
          <w:u w:val="single"/>
        </w:rPr>
      </w:pPr>
      <w:r>
        <w:rPr>
          <w:sz w:val="21"/>
          <w:szCs w:val="21"/>
          <w:u w:val="single"/>
        </w:rPr>
        <w:t xml:space="preserve">This Checklist </w:t>
      </w:r>
      <w:r w:rsidR="00000BD9" w:rsidRPr="00A0019E">
        <w:rPr>
          <w:sz w:val="21"/>
          <w:szCs w:val="21"/>
          <w:u w:val="single"/>
        </w:rPr>
        <w:t xml:space="preserve">Applies to the </w:t>
      </w:r>
      <w:r>
        <w:rPr>
          <w:sz w:val="21"/>
          <w:szCs w:val="21"/>
          <w:u w:val="single"/>
        </w:rPr>
        <w:t>F</w:t>
      </w:r>
      <w:r w:rsidR="00000BD9" w:rsidRPr="00A0019E">
        <w:rPr>
          <w:sz w:val="21"/>
          <w:szCs w:val="21"/>
          <w:u w:val="single"/>
        </w:rPr>
        <w:t>ollowing Types of Insurance (TOI):</w:t>
      </w:r>
    </w:p>
    <w:p w14:paraId="4ECB9738" w14:textId="7B7775E0" w:rsidR="00CC4539" w:rsidRDefault="00553212" w:rsidP="00CC4539">
      <w:pPr>
        <w:pStyle w:val="ListParagraph"/>
        <w:numPr>
          <w:ilvl w:val="0"/>
          <w:numId w:val="6"/>
        </w:numPr>
        <w:rPr>
          <w:rStyle w:val="Heading5Char"/>
          <w:rFonts w:asciiTheme="minorHAnsi" w:eastAsiaTheme="minorHAnsi" w:hAnsiTheme="minorHAnsi" w:cstheme="minorBidi"/>
          <w:color w:val="auto"/>
          <w:sz w:val="21"/>
          <w:szCs w:val="21"/>
        </w:rPr>
      </w:pPr>
      <w:r>
        <w:rPr>
          <w:rStyle w:val="Heading5Char"/>
          <w:rFonts w:asciiTheme="minorHAnsi" w:eastAsiaTheme="minorHAnsi" w:hAnsiTheme="minorHAnsi" w:cstheme="minorBidi"/>
          <w:color w:val="auto"/>
          <w:sz w:val="21"/>
          <w:szCs w:val="21"/>
        </w:rPr>
        <w:t>L08 Life – Other</w:t>
      </w:r>
    </w:p>
    <w:p w14:paraId="38CABD27" w14:textId="6E5C7C6E" w:rsidR="00553212" w:rsidRDefault="00553212" w:rsidP="00CC4539">
      <w:pPr>
        <w:pStyle w:val="ListParagraph"/>
        <w:numPr>
          <w:ilvl w:val="0"/>
          <w:numId w:val="6"/>
        </w:numPr>
        <w:rPr>
          <w:rStyle w:val="Heading5Char"/>
          <w:rFonts w:asciiTheme="minorHAnsi" w:eastAsiaTheme="minorHAnsi" w:hAnsiTheme="minorHAnsi" w:cstheme="minorBidi"/>
          <w:color w:val="auto"/>
          <w:sz w:val="21"/>
          <w:szCs w:val="21"/>
        </w:rPr>
      </w:pPr>
      <w:r>
        <w:rPr>
          <w:rStyle w:val="Heading5Char"/>
          <w:rFonts w:asciiTheme="minorHAnsi" w:eastAsiaTheme="minorHAnsi" w:hAnsiTheme="minorHAnsi" w:cstheme="minorBidi"/>
          <w:color w:val="auto"/>
          <w:sz w:val="21"/>
          <w:szCs w:val="21"/>
        </w:rPr>
        <w:t>Generally, the line of insurance and “other” are used for Assumption Reinsurance Agreements.</w:t>
      </w:r>
    </w:p>
    <w:p w14:paraId="60F049D8" w14:textId="6215D90C" w:rsidR="00A0019E" w:rsidRDefault="00553212" w:rsidP="00A0019E">
      <w:pPr>
        <w:rPr>
          <w:b/>
          <w:sz w:val="21"/>
          <w:szCs w:val="21"/>
        </w:rPr>
      </w:pPr>
      <w:r>
        <w:rPr>
          <w:b/>
          <w:sz w:val="21"/>
          <w:szCs w:val="21"/>
        </w:rPr>
        <w:t xml:space="preserve">Note that the insurer </w:t>
      </w:r>
      <w:r w:rsidRPr="00553212">
        <w:rPr>
          <w:b/>
          <w:i/>
          <w:iCs/>
          <w:sz w:val="21"/>
          <w:szCs w:val="21"/>
        </w:rPr>
        <w:t>transferring</w:t>
      </w:r>
      <w:r>
        <w:rPr>
          <w:b/>
          <w:sz w:val="21"/>
          <w:szCs w:val="21"/>
        </w:rPr>
        <w:t xml:space="preserve"> the risk is to make the filing.</w:t>
      </w:r>
    </w:p>
    <w:p w14:paraId="7B3491E6" w14:textId="74D98BCD" w:rsidR="00A85401" w:rsidRPr="00A0019E" w:rsidRDefault="00A85401" w:rsidP="00A0019E">
      <w:pPr>
        <w:rPr>
          <w:sz w:val="21"/>
          <w:szCs w:val="21"/>
        </w:rPr>
      </w:pPr>
      <w:r>
        <w:rPr>
          <w:sz w:val="21"/>
          <w:szCs w:val="21"/>
        </w:rPr>
        <w:t xml:space="preserve">This checklist provides two versions of “STEP ONE” depending on domicile of the transferring and assuming insurers.  </w:t>
      </w:r>
    </w:p>
    <w:tbl>
      <w:tblPr>
        <w:tblStyle w:val="TableGrid"/>
        <w:tblW w:w="0" w:type="auto"/>
        <w:tblLook w:val="04A0" w:firstRow="1" w:lastRow="0" w:firstColumn="1" w:lastColumn="0" w:noHBand="0" w:noVBand="1"/>
      </w:tblPr>
      <w:tblGrid>
        <w:gridCol w:w="1174"/>
        <w:gridCol w:w="2316"/>
        <w:gridCol w:w="1462"/>
        <w:gridCol w:w="3022"/>
        <w:gridCol w:w="1376"/>
      </w:tblGrid>
      <w:tr w:rsidR="00796D1D" w:rsidRPr="00A0019E" w14:paraId="4B2CDDDB" w14:textId="77777777" w:rsidTr="00796D1D">
        <w:tc>
          <w:tcPr>
            <w:tcW w:w="1174" w:type="dxa"/>
            <w:shd w:val="clear" w:color="auto" w:fill="E7E6E6" w:themeFill="background2"/>
          </w:tcPr>
          <w:p w14:paraId="66F34913" w14:textId="77777777" w:rsidR="00796D1D" w:rsidRPr="00A0019E" w:rsidRDefault="00796D1D" w:rsidP="003C6597">
            <w:pPr>
              <w:rPr>
                <w:b/>
                <w:sz w:val="21"/>
                <w:szCs w:val="21"/>
              </w:rPr>
            </w:pPr>
          </w:p>
        </w:tc>
        <w:tc>
          <w:tcPr>
            <w:tcW w:w="8176" w:type="dxa"/>
            <w:gridSpan w:val="4"/>
            <w:shd w:val="clear" w:color="auto" w:fill="E7E6E6" w:themeFill="background2"/>
          </w:tcPr>
          <w:p w14:paraId="3DB76A44" w14:textId="77777777" w:rsidR="00796D1D" w:rsidRDefault="00796D1D" w:rsidP="00694250">
            <w:pPr>
              <w:rPr>
                <w:b/>
                <w:sz w:val="21"/>
                <w:szCs w:val="21"/>
              </w:rPr>
            </w:pPr>
            <w:r>
              <w:rPr>
                <w:b/>
                <w:sz w:val="21"/>
                <w:szCs w:val="21"/>
              </w:rPr>
              <w:t>FILER: PLEASE TYPE IN THE SERFF FILING NUMBER AND EACH FORM NUMBER SUBMITTED FOR DOI APPROVAL IN THIS FILING, AND LIST THE TOI THAT APPLIES</w:t>
            </w:r>
          </w:p>
          <w:p w14:paraId="7A69E2C0" w14:textId="1771A170" w:rsidR="00553212" w:rsidRPr="00A0019E" w:rsidRDefault="00553212" w:rsidP="00694250">
            <w:pPr>
              <w:rPr>
                <w:b/>
                <w:sz w:val="21"/>
                <w:szCs w:val="21"/>
              </w:rPr>
            </w:pPr>
          </w:p>
        </w:tc>
      </w:tr>
      <w:tr w:rsidR="00796D1D" w:rsidRPr="00A0019E" w14:paraId="4E2A51A8" w14:textId="77777777" w:rsidTr="00796D1D">
        <w:tc>
          <w:tcPr>
            <w:tcW w:w="1174" w:type="dxa"/>
            <w:shd w:val="clear" w:color="auto" w:fill="FFFFFF" w:themeFill="background1"/>
          </w:tcPr>
          <w:p w14:paraId="2DDACA86" w14:textId="01D048E5" w:rsidR="00796D1D" w:rsidRPr="00796D1D" w:rsidRDefault="00796D1D" w:rsidP="00694250">
            <w:pPr>
              <w:rPr>
                <w:sz w:val="21"/>
                <w:szCs w:val="21"/>
              </w:rPr>
            </w:pPr>
          </w:p>
        </w:tc>
        <w:tc>
          <w:tcPr>
            <w:tcW w:w="6800" w:type="dxa"/>
            <w:gridSpan w:val="3"/>
            <w:shd w:val="clear" w:color="auto" w:fill="FFFFFF" w:themeFill="background1"/>
          </w:tcPr>
          <w:p w14:paraId="3D9854A4" w14:textId="38AB17DA" w:rsidR="00796D1D" w:rsidRPr="00796D1D" w:rsidRDefault="00796D1D" w:rsidP="00796D1D">
            <w:pPr>
              <w:rPr>
                <w:sz w:val="21"/>
                <w:szCs w:val="21"/>
              </w:rPr>
            </w:pPr>
            <w:r>
              <w:rPr>
                <w:sz w:val="21"/>
                <w:szCs w:val="21"/>
              </w:rPr>
              <w:t>[</w:t>
            </w:r>
            <w:r w:rsidRPr="00796D1D">
              <w:rPr>
                <w:sz w:val="21"/>
                <w:szCs w:val="21"/>
              </w:rPr>
              <w:t>SERFF filing number and form numbers here]</w:t>
            </w:r>
          </w:p>
        </w:tc>
        <w:tc>
          <w:tcPr>
            <w:tcW w:w="1376" w:type="dxa"/>
            <w:shd w:val="clear" w:color="auto" w:fill="FFFFFF" w:themeFill="background1"/>
          </w:tcPr>
          <w:p w14:paraId="1477ACBC" w14:textId="01FC927A" w:rsidR="00796D1D" w:rsidRPr="00796D1D" w:rsidRDefault="00796D1D" w:rsidP="00694250">
            <w:pPr>
              <w:rPr>
                <w:sz w:val="21"/>
                <w:szCs w:val="21"/>
              </w:rPr>
            </w:pPr>
            <w:r>
              <w:rPr>
                <w:sz w:val="21"/>
                <w:szCs w:val="21"/>
              </w:rPr>
              <w:t>[TOI here]</w:t>
            </w:r>
          </w:p>
        </w:tc>
      </w:tr>
      <w:tr w:rsidR="00A0019E" w:rsidRPr="00A0019E" w14:paraId="21C74274" w14:textId="77777777" w:rsidTr="00005C87">
        <w:tc>
          <w:tcPr>
            <w:tcW w:w="1174" w:type="dxa"/>
            <w:shd w:val="clear" w:color="auto" w:fill="E7E6E6" w:themeFill="background2"/>
          </w:tcPr>
          <w:p w14:paraId="20148F17" w14:textId="77777777" w:rsidR="003C6597" w:rsidRPr="00A0019E" w:rsidRDefault="003C6597" w:rsidP="003C6597">
            <w:pPr>
              <w:rPr>
                <w:b/>
                <w:sz w:val="21"/>
                <w:szCs w:val="21"/>
              </w:rPr>
            </w:pPr>
            <w:r w:rsidRPr="00A0019E">
              <w:rPr>
                <w:b/>
                <w:sz w:val="21"/>
                <w:szCs w:val="21"/>
              </w:rPr>
              <w:t>(DOI reviewer)</w:t>
            </w:r>
          </w:p>
          <w:p w14:paraId="18C37528" w14:textId="4FC23202" w:rsidR="00BC3756" w:rsidRPr="00A0019E" w:rsidRDefault="003C6597" w:rsidP="003C6597">
            <w:pPr>
              <w:rPr>
                <w:b/>
                <w:sz w:val="21"/>
                <w:szCs w:val="21"/>
              </w:rPr>
            </w:pPr>
            <w:r w:rsidRPr="00A0019E">
              <w:rPr>
                <w:b/>
                <w:sz w:val="21"/>
                <w:szCs w:val="21"/>
              </w:rPr>
              <w:t>Check as completed</w:t>
            </w:r>
          </w:p>
        </w:tc>
        <w:tc>
          <w:tcPr>
            <w:tcW w:w="2316" w:type="dxa"/>
            <w:shd w:val="clear" w:color="auto" w:fill="E7E6E6" w:themeFill="background2"/>
          </w:tcPr>
          <w:p w14:paraId="0B08ECBE" w14:textId="53E1CEB2" w:rsidR="00BC3756" w:rsidRPr="00A0019E" w:rsidRDefault="00BC3756" w:rsidP="00070A99">
            <w:pPr>
              <w:rPr>
                <w:b/>
                <w:sz w:val="21"/>
                <w:szCs w:val="21"/>
              </w:rPr>
            </w:pPr>
            <w:r w:rsidRPr="00A0019E">
              <w:rPr>
                <w:b/>
                <w:sz w:val="21"/>
                <w:szCs w:val="21"/>
              </w:rPr>
              <w:t>Review Requirements</w:t>
            </w:r>
          </w:p>
        </w:tc>
        <w:tc>
          <w:tcPr>
            <w:tcW w:w="1462" w:type="dxa"/>
            <w:shd w:val="clear" w:color="auto" w:fill="E7E6E6" w:themeFill="background2"/>
          </w:tcPr>
          <w:p w14:paraId="706EF8E8" w14:textId="77777777" w:rsidR="00BC3756" w:rsidRPr="00A0019E" w:rsidRDefault="00BC3756" w:rsidP="00070A99">
            <w:pPr>
              <w:rPr>
                <w:b/>
                <w:sz w:val="21"/>
                <w:szCs w:val="21"/>
              </w:rPr>
            </w:pPr>
            <w:r w:rsidRPr="00A0019E">
              <w:rPr>
                <w:b/>
                <w:sz w:val="21"/>
                <w:szCs w:val="21"/>
              </w:rPr>
              <w:t>Reference</w:t>
            </w:r>
          </w:p>
        </w:tc>
        <w:tc>
          <w:tcPr>
            <w:tcW w:w="3022" w:type="dxa"/>
            <w:shd w:val="clear" w:color="auto" w:fill="E7E6E6" w:themeFill="background2"/>
          </w:tcPr>
          <w:p w14:paraId="6C4FCBD9" w14:textId="77777777" w:rsidR="00BC3756" w:rsidRPr="00A0019E" w:rsidRDefault="00BC3756" w:rsidP="001270E9">
            <w:pPr>
              <w:rPr>
                <w:b/>
                <w:sz w:val="21"/>
                <w:szCs w:val="21"/>
              </w:rPr>
            </w:pPr>
            <w:r w:rsidRPr="00A0019E">
              <w:rPr>
                <w:b/>
                <w:sz w:val="21"/>
                <w:szCs w:val="21"/>
              </w:rPr>
              <w:t>Description</w:t>
            </w:r>
          </w:p>
        </w:tc>
        <w:tc>
          <w:tcPr>
            <w:tcW w:w="1376" w:type="dxa"/>
            <w:shd w:val="clear" w:color="auto" w:fill="E7E6E6" w:themeFill="background2"/>
          </w:tcPr>
          <w:p w14:paraId="4C4C2F81" w14:textId="1B7347D2" w:rsidR="00BC3756" w:rsidRPr="00A0019E" w:rsidRDefault="00BC3756" w:rsidP="00694250">
            <w:pPr>
              <w:rPr>
                <w:b/>
                <w:sz w:val="21"/>
                <w:szCs w:val="21"/>
              </w:rPr>
            </w:pPr>
            <w:r w:rsidRPr="00A0019E">
              <w:rPr>
                <w:b/>
                <w:sz w:val="21"/>
                <w:szCs w:val="21"/>
              </w:rPr>
              <w:t xml:space="preserve">Page </w:t>
            </w:r>
            <w:r w:rsidR="003C6597" w:rsidRPr="00A0019E">
              <w:rPr>
                <w:b/>
                <w:sz w:val="21"/>
                <w:szCs w:val="21"/>
              </w:rPr>
              <w:t xml:space="preserve">number, form name </w:t>
            </w:r>
            <w:r w:rsidR="00F419D2" w:rsidRPr="00A0019E">
              <w:rPr>
                <w:b/>
                <w:sz w:val="21"/>
                <w:szCs w:val="21"/>
              </w:rPr>
              <w:t>&amp; number</w:t>
            </w:r>
            <w:r w:rsidRPr="00A0019E">
              <w:rPr>
                <w:b/>
                <w:sz w:val="21"/>
                <w:szCs w:val="21"/>
              </w:rPr>
              <w:t xml:space="preserve"> if separate document, or N/A</w:t>
            </w:r>
          </w:p>
        </w:tc>
      </w:tr>
      <w:tr w:rsidR="003C6597" w:rsidRPr="00A0019E" w14:paraId="15B0FF9A" w14:textId="77777777" w:rsidTr="00796D1D">
        <w:tc>
          <w:tcPr>
            <w:tcW w:w="1174" w:type="dxa"/>
            <w:shd w:val="clear" w:color="auto" w:fill="E7E6E6" w:themeFill="background2"/>
          </w:tcPr>
          <w:p w14:paraId="44408130" w14:textId="4D0DA8E1" w:rsidR="003C6597" w:rsidRPr="00A0019E" w:rsidRDefault="003C6597" w:rsidP="00070A99">
            <w:pPr>
              <w:rPr>
                <w:b/>
                <w:sz w:val="21"/>
                <w:szCs w:val="21"/>
              </w:rPr>
            </w:pPr>
          </w:p>
        </w:tc>
        <w:tc>
          <w:tcPr>
            <w:tcW w:w="8176" w:type="dxa"/>
            <w:gridSpan w:val="4"/>
            <w:shd w:val="clear" w:color="auto" w:fill="E7E6E6" w:themeFill="background2"/>
          </w:tcPr>
          <w:p w14:paraId="687BD07D" w14:textId="54D5B333" w:rsidR="003C6597" w:rsidRDefault="00553212" w:rsidP="00070A99">
            <w:pPr>
              <w:rPr>
                <w:b/>
                <w:bCs/>
                <w:sz w:val="21"/>
                <w:szCs w:val="21"/>
              </w:rPr>
            </w:pPr>
            <w:r w:rsidRPr="00553212">
              <w:rPr>
                <w:b/>
                <w:bCs/>
                <w:sz w:val="21"/>
                <w:szCs w:val="21"/>
              </w:rPr>
              <w:t>STEP ONE: Approval of transfer</w:t>
            </w:r>
            <w:r>
              <w:rPr>
                <w:b/>
                <w:bCs/>
                <w:sz w:val="21"/>
                <w:szCs w:val="21"/>
              </w:rPr>
              <w:t xml:space="preserve"> where transferring or assuming insurer is a Nebraska domestic</w:t>
            </w:r>
            <w:r w:rsidR="003C3FF2">
              <w:rPr>
                <w:b/>
                <w:bCs/>
                <w:sz w:val="21"/>
                <w:szCs w:val="21"/>
              </w:rPr>
              <w:t xml:space="preserve"> OR the foreign domiciles do not have laws substantially </w:t>
            </w:r>
            <w:r w:rsidR="003C3FF2" w:rsidRPr="003C3FF2">
              <w:rPr>
                <w:b/>
                <w:bCs/>
                <w:sz w:val="21"/>
                <w:szCs w:val="21"/>
              </w:rPr>
              <w:t xml:space="preserve">similar to the </w:t>
            </w:r>
            <w:r w:rsidR="003C3FF2" w:rsidRPr="003C3FF2">
              <w:rPr>
                <w:b/>
                <w:bCs/>
                <w:sz w:val="21"/>
                <w:szCs w:val="21"/>
              </w:rPr>
              <w:t>Assumption Reinsurance Act, Neb. Rev. Stat. §§ 44-6201 to 44-6211, in both the transferring and assuming insurers’ domicile</w:t>
            </w:r>
            <w:r w:rsidR="003C3FF2">
              <w:rPr>
                <w:b/>
                <w:bCs/>
                <w:sz w:val="21"/>
                <w:szCs w:val="21"/>
              </w:rPr>
              <w:t>.</w:t>
            </w:r>
          </w:p>
          <w:p w14:paraId="123BA837" w14:textId="49F677EE" w:rsidR="00553212" w:rsidRPr="00553212" w:rsidRDefault="00553212" w:rsidP="00070A99">
            <w:pPr>
              <w:rPr>
                <w:sz w:val="21"/>
                <w:szCs w:val="21"/>
              </w:rPr>
            </w:pPr>
            <w:r w:rsidRPr="00553212">
              <w:rPr>
                <w:sz w:val="21"/>
                <w:szCs w:val="21"/>
              </w:rPr>
              <w:t>General Counsel or Director will issue approval.  If approval was obtained prior to the SERFF filing, proof of the approval is sufficient.  If no proof of approval is attached to the filing, the documents submitted will be transferred to the General Counsel for</w:t>
            </w:r>
            <w:r w:rsidR="00AC10D8">
              <w:rPr>
                <w:sz w:val="21"/>
                <w:szCs w:val="21"/>
              </w:rPr>
              <w:t xml:space="preserve"> the</w:t>
            </w:r>
            <w:r w:rsidRPr="00553212">
              <w:rPr>
                <w:sz w:val="21"/>
                <w:szCs w:val="21"/>
              </w:rPr>
              <w:t xml:space="preserve"> legal</w:t>
            </w:r>
            <w:r w:rsidR="00AC10D8">
              <w:rPr>
                <w:sz w:val="21"/>
                <w:szCs w:val="21"/>
              </w:rPr>
              <w:t xml:space="preserve"> and financial</w:t>
            </w:r>
            <w:r w:rsidRPr="00553212">
              <w:rPr>
                <w:sz w:val="21"/>
                <w:szCs w:val="21"/>
              </w:rPr>
              <w:t xml:space="preserve"> division</w:t>
            </w:r>
            <w:r w:rsidR="00AC10D8">
              <w:rPr>
                <w:sz w:val="21"/>
                <w:szCs w:val="21"/>
              </w:rPr>
              <w:t>s’</w:t>
            </w:r>
            <w:r w:rsidRPr="00553212">
              <w:rPr>
                <w:sz w:val="21"/>
                <w:szCs w:val="21"/>
              </w:rPr>
              <w:t xml:space="preserve"> review to meet the requirements listed in this section.</w:t>
            </w:r>
          </w:p>
        </w:tc>
      </w:tr>
      <w:tr w:rsidR="00553212" w:rsidRPr="00A0019E" w14:paraId="595C6051" w14:textId="77777777" w:rsidTr="00005C87">
        <w:tc>
          <w:tcPr>
            <w:tcW w:w="1174" w:type="dxa"/>
          </w:tcPr>
          <w:p w14:paraId="73CAABC2" w14:textId="61211DE5" w:rsidR="00553212" w:rsidRPr="00A0019E" w:rsidRDefault="00553212" w:rsidP="001270E9">
            <w:pPr>
              <w:rPr>
                <w:sz w:val="21"/>
                <w:szCs w:val="21"/>
              </w:rPr>
            </w:pPr>
            <w:r w:rsidRPr="00A0019E">
              <w:rPr>
                <w:sz w:val="21"/>
                <w:szCs w:val="21"/>
              </w:rPr>
              <w:sym w:font="Wingdings" w:char="F06F"/>
            </w:r>
          </w:p>
        </w:tc>
        <w:tc>
          <w:tcPr>
            <w:tcW w:w="2316" w:type="dxa"/>
          </w:tcPr>
          <w:p w14:paraId="412C2A09" w14:textId="4B21B2D2" w:rsidR="00553212" w:rsidRDefault="00553212" w:rsidP="001270E9">
            <w:pPr>
              <w:rPr>
                <w:sz w:val="21"/>
                <w:szCs w:val="21"/>
              </w:rPr>
            </w:pPr>
            <w:r>
              <w:rPr>
                <w:sz w:val="21"/>
                <w:szCs w:val="21"/>
              </w:rPr>
              <w:t>Applicability of Assumption Reinsurance Act</w:t>
            </w:r>
          </w:p>
        </w:tc>
        <w:tc>
          <w:tcPr>
            <w:tcW w:w="1462" w:type="dxa"/>
          </w:tcPr>
          <w:p w14:paraId="56557F26" w14:textId="78418632" w:rsidR="00553212" w:rsidRDefault="00553212" w:rsidP="001270E9">
            <w:r>
              <w:t>§ 44-6204(2)</w:t>
            </w:r>
          </w:p>
        </w:tc>
        <w:tc>
          <w:tcPr>
            <w:tcW w:w="3022" w:type="dxa"/>
          </w:tcPr>
          <w:p w14:paraId="28FBB384" w14:textId="07801757" w:rsidR="00553212" w:rsidRDefault="00553212" w:rsidP="001270E9">
            <w:pPr>
              <w:rPr>
                <w:sz w:val="21"/>
                <w:szCs w:val="21"/>
              </w:rPr>
            </w:pPr>
            <w:r>
              <w:rPr>
                <w:sz w:val="21"/>
                <w:szCs w:val="21"/>
              </w:rPr>
              <w:t>Contract both: (a) transfers insurance obligations or risks on existing contracts from one insurer to another insurer; and (b) is intended to effect a novation of the transferred contract with the result that the assuming insurer becomes directly liable to the policyholders of the transferring insurer and the transferring insurer’s obligations or risks under the contract are extinguished.</w:t>
            </w:r>
          </w:p>
        </w:tc>
        <w:tc>
          <w:tcPr>
            <w:tcW w:w="1376" w:type="dxa"/>
          </w:tcPr>
          <w:p w14:paraId="5B229935" w14:textId="77777777" w:rsidR="00553212" w:rsidRPr="00A0019E" w:rsidRDefault="00553212" w:rsidP="001270E9">
            <w:pPr>
              <w:rPr>
                <w:sz w:val="21"/>
                <w:szCs w:val="21"/>
              </w:rPr>
            </w:pPr>
          </w:p>
        </w:tc>
      </w:tr>
      <w:tr w:rsidR="00A0019E" w:rsidRPr="00A0019E" w14:paraId="5CAC40A6" w14:textId="77777777" w:rsidTr="00005C87">
        <w:tc>
          <w:tcPr>
            <w:tcW w:w="1174" w:type="dxa"/>
          </w:tcPr>
          <w:p w14:paraId="5F5F836A" w14:textId="7E370AB5" w:rsidR="00BC3756" w:rsidRPr="00A0019E" w:rsidRDefault="00BC3756" w:rsidP="001270E9">
            <w:pPr>
              <w:rPr>
                <w:sz w:val="21"/>
                <w:szCs w:val="21"/>
              </w:rPr>
            </w:pPr>
            <w:r w:rsidRPr="00A0019E">
              <w:rPr>
                <w:sz w:val="21"/>
                <w:szCs w:val="21"/>
              </w:rPr>
              <w:sym w:font="Wingdings" w:char="F06F"/>
            </w:r>
          </w:p>
        </w:tc>
        <w:tc>
          <w:tcPr>
            <w:tcW w:w="2316" w:type="dxa"/>
          </w:tcPr>
          <w:p w14:paraId="424A8492" w14:textId="2A71BA3B" w:rsidR="00BC3756" w:rsidRPr="00A0019E" w:rsidRDefault="00553212" w:rsidP="001270E9">
            <w:pPr>
              <w:rPr>
                <w:sz w:val="21"/>
                <w:szCs w:val="21"/>
              </w:rPr>
            </w:pPr>
            <w:r>
              <w:rPr>
                <w:sz w:val="21"/>
                <w:szCs w:val="21"/>
              </w:rPr>
              <w:t>30-day requirement</w:t>
            </w:r>
          </w:p>
        </w:tc>
        <w:tc>
          <w:tcPr>
            <w:tcW w:w="1462" w:type="dxa"/>
          </w:tcPr>
          <w:p w14:paraId="3FCCB5C6" w14:textId="27AB2D50" w:rsidR="00BC3756" w:rsidRPr="00A0019E" w:rsidRDefault="00553212" w:rsidP="001270E9">
            <w:pPr>
              <w:rPr>
                <w:sz w:val="21"/>
                <w:szCs w:val="21"/>
              </w:rPr>
            </w:pPr>
            <w:r>
              <w:t>§ 44-6206(4)</w:t>
            </w:r>
          </w:p>
        </w:tc>
        <w:tc>
          <w:tcPr>
            <w:tcW w:w="3022" w:type="dxa"/>
          </w:tcPr>
          <w:p w14:paraId="2B663384" w14:textId="3B005661" w:rsidR="00BC3756" w:rsidRPr="00A0019E" w:rsidRDefault="00553212" w:rsidP="001270E9">
            <w:pPr>
              <w:rPr>
                <w:sz w:val="21"/>
                <w:szCs w:val="21"/>
              </w:rPr>
            </w:pPr>
            <w:r>
              <w:rPr>
                <w:sz w:val="21"/>
                <w:szCs w:val="21"/>
              </w:rPr>
              <w:t>Transaction cannot be entered until 30 days after NDOI approval (or 30 days have passed after submission without NDOI approval)</w:t>
            </w:r>
          </w:p>
        </w:tc>
        <w:tc>
          <w:tcPr>
            <w:tcW w:w="1376" w:type="dxa"/>
          </w:tcPr>
          <w:p w14:paraId="0AD3067B" w14:textId="77777777" w:rsidR="00BC3756" w:rsidRPr="00A0019E" w:rsidRDefault="00BC3756" w:rsidP="001270E9">
            <w:pPr>
              <w:rPr>
                <w:sz w:val="21"/>
                <w:szCs w:val="21"/>
              </w:rPr>
            </w:pPr>
          </w:p>
        </w:tc>
      </w:tr>
      <w:tr w:rsidR="00553212" w:rsidRPr="00A0019E" w14:paraId="256F5335" w14:textId="77777777" w:rsidTr="00005C87">
        <w:tc>
          <w:tcPr>
            <w:tcW w:w="1174" w:type="dxa"/>
          </w:tcPr>
          <w:p w14:paraId="39B0B34B" w14:textId="4E84D320" w:rsidR="00553212" w:rsidRPr="00A0019E" w:rsidRDefault="00553212" w:rsidP="001270E9">
            <w:pPr>
              <w:rPr>
                <w:sz w:val="21"/>
                <w:szCs w:val="21"/>
              </w:rPr>
            </w:pPr>
            <w:r w:rsidRPr="00A0019E">
              <w:rPr>
                <w:sz w:val="21"/>
                <w:szCs w:val="21"/>
              </w:rPr>
              <w:lastRenderedPageBreak/>
              <w:sym w:font="Wingdings" w:char="F06F"/>
            </w:r>
          </w:p>
        </w:tc>
        <w:tc>
          <w:tcPr>
            <w:tcW w:w="2316" w:type="dxa"/>
          </w:tcPr>
          <w:p w14:paraId="4ADB20A2" w14:textId="23F51C97" w:rsidR="00553212" w:rsidRPr="00A0019E" w:rsidRDefault="00553212" w:rsidP="001270E9">
            <w:pPr>
              <w:rPr>
                <w:sz w:val="21"/>
                <w:szCs w:val="21"/>
              </w:rPr>
            </w:pPr>
            <w:r>
              <w:rPr>
                <w:sz w:val="21"/>
                <w:szCs w:val="21"/>
              </w:rPr>
              <w:t>Factors considered in reviewing a request for approval</w:t>
            </w:r>
          </w:p>
        </w:tc>
        <w:tc>
          <w:tcPr>
            <w:tcW w:w="1462" w:type="dxa"/>
          </w:tcPr>
          <w:p w14:paraId="537FBF44" w14:textId="7F101D3F" w:rsidR="00553212" w:rsidRDefault="00553212" w:rsidP="001270E9">
            <w:r>
              <w:t>§ 44-6206(5)</w:t>
            </w:r>
          </w:p>
        </w:tc>
        <w:tc>
          <w:tcPr>
            <w:tcW w:w="3022" w:type="dxa"/>
          </w:tcPr>
          <w:p w14:paraId="66D97A6E" w14:textId="4897028C" w:rsidR="00553212" w:rsidRPr="00A0019E" w:rsidRDefault="00553212" w:rsidP="001270E9">
            <w:pPr>
              <w:rPr>
                <w:sz w:val="21"/>
                <w:szCs w:val="21"/>
              </w:rPr>
            </w:pPr>
            <w:r>
              <w:rPr>
                <w:sz w:val="21"/>
                <w:szCs w:val="21"/>
              </w:rPr>
              <w:t xml:space="preserve">(a) </w:t>
            </w:r>
            <w:r w:rsidRPr="00553212">
              <w:rPr>
                <w:sz w:val="21"/>
                <w:szCs w:val="21"/>
              </w:rPr>
              <w:t>The financial condition of the transferring insurer and assuming insurer and the effect the transaction will have on the financial condition of each insurer</w:t>
            </w:r>
          </w:p>
        </w:tc>
        <w:tc>
          <w:tcPr>
            <w:tcW w:w="1376" w:type="dxa"/>
          </w:tcPr>
          <w:p w14:paraId="403AA8ED" w14:textId="77777777" w:rsidR="00553212" w:rsidRPr="00A0019E" w:rsidRDefault="00553212" w:rsidP="001270E9">
            <w:pPr>
              <w:rPr>
                <w:sz w:val="21"/>
                <w:szCs w:val="21"/>
              </w:rPr>
            </w:pPr>
          </w:p>
        </w:tc>
      </w:tr>
      <w:tr w:rsidR="00553212" w:rsidRPr="00A0019E" w14:paraId="074675BA" w14:textId="77777777" w:rsidTr="00005C87">
        <w:tc>
          <w:tcPr>
            <w:tcW w:w="1174" w:type="dxa"/>
          </w:tcPr>
          <w:p w14:paraId="59F35611" w14:textId="58A452E8" w:rsidR="00553212" w:rsidRPr="00A0019E" w:rsidRDefault="00553212" w:rsidP="00553212">
            <w:pPr>
              <w:rPr>
                <w:sz w:val="21"/>
                <w:szCs w:val="21"/>
              </w:rPr>
            </w:pPr>
            <w:r w:rsidRPr="00A0019E">
              <w:rPr>
                <w:sz w:val="21"/>
                <w:szCs w:val="21"/>
              </w:rPr>
              <w:sym w:font="Wingdings" w:char="F06F"/>
            </w:r>
          </w:p>
        </w:tc>
        <w:tc>
          <w:tcPr>
            <w:tcW w:w="2316" w:type="dxa"/>
          </w:tcPr>
          <w:p w14:paraId="6739BB51" w14:textId="1858FBED" w:rsidR="00553212" w:rsidRPr="00A0019E" w:rsidRDefault="00553212" w:rsidP="00553212">
            <w:pPr>
              <w:rPr>
                <w:sz w:val="21"/>
                <w:szCs w:val="21"/>
              </w:rPr>
            </w:pPr>
            <w:r>
              <w:rPr>
                <w:sz w:val="21"/>
                <w:szCs w:val="21"/>
              </w:rPr>
              <w:t>Factors considered in reviewing a request for approval</w:t>
            </w:r>
          </w:p>
        </w:tc>
        <w:tc>
          <w:tcPr>
            <w:tcW w:w="1462" w:type="dxa"/>
          </w:tcPr>
          <w:p w14:paraId="2CD3F6E8" w14:textId="28C56FF1" w:rsidR="00553212" w:rsidRDefault="00553212" w:rsidP="00553212">
            <w:r>
              <w:t>§ 44-6206(5)</w:t>
            </w:r>
          </w:p>
        </w:tc>
        <w:tc>
          <w:tcPr>
            <w:tcW w:w="3022" w:type="dxa"/>
          </w:tcPr>
          <w:p w14:paraId="5AB3EC02" w14:textId="0DBE8553" w:rsidR="00553212" w:rsidRPr="00A0019E" w:rsidRDefault="00553212" w:rsidP="00553212">
            <w:pPr>
              <w:rPr>
                <w:sz w:val="21"/>
                <w:szCs w:val="21"/>
              </w:rPr>
            </w:pPr>
            <w:r w:rsidRPr="00553212">
              <w:rPr>
                <w:sz w:val="21"/>
                <w:szCs w:val="21"/>
              </w:rPr>
              <w:t>(b) The competence, experience, and integrity of those persons who control the operation of the assuming insurer</w:t>
            </w:r>
          </w:p>
        </w:tc>
        <w:tc>
          <w:tcPr>
            <w:tcW w:w="1376" w:type="dxa"/>
          </w:tcPr>
          <w:p w14:paraId="4371FEBD" w14:textId="77777777" w:rsidR="00553212" w:rsidRPr="00A0019E" w:rsidRDefault="00553212" w:rsidP="00553212">
            <w:pPr>
              <w:rPr>
                <w:sz w:val="21"/>
                <w:szCs w:val="21"/>
              </w:rPr>
            </w:pPr>
          </w:p>
        </w:tc>
      </w:tr>
      <w:tr w:rsidR="00553212" w:rsidRPr="00A0019E" w14:paraId="2B2F7811" w14:textId="77777777" w:rsidTr="00005C87">
        <w:tc>
          <w:tcPr>
            <w:tcW w:w="1174" w:type="dxa"/>
          </w:tcPr>
          <w:p w14:paraId="4B2DD58E" w14:textId="330D77C8" w:rsidR="00553212" w:rsidRPr="00A0019E" w:rsidRDefault="00553212" w:rsidP="00553212">
            <w:pPr>
              <w:rPr>
                <w:sz w:val="21"/>
                <w:szCs w:val="21"/>
              </w:rPr>
            </w:pPr>
            <w:r w:rsidRPr="00A0019E">
              <w:rPr>
                <w:sz w:val="21"/>
                <w:szCs w:val="21"/>
              </w:rPr>
              <w:sym w:font="Wingdings" w:char="F06F"/>
            </w:r>
          </w:p>
        </w:tc>
        <w:tc>
          <w:tcPr>
            <w:tcW w:w="2316" w:type="dxa"/>
          </w:tcPr>
          <w:p w14:paraId="386683ED" w14:textId="78488A65" w:rsidR="00553212" w:rsidRPr="00A0019E" w:rsidRDefault="00553212" w:rsidP="00553212">
            <w:pPr>
              <w:rPr>
                <w:sz w:val="21"/>
                <w:szCs w:val="21"/>
              </w:rPr>
            </w:pPr>
            <w:r>
              <w:rPr>
                <w:sz w:val="21"/>
                <w:szCs w:val="21"/>
              </w:rPr>
              <w:t>Factors considered in reviewing a request for approval</w:t>
            </w:r>
          </w:p>
        </w:tc>
        <w:tc>
          <w:tcPr>
            <w:tcW w:w="1462" w:type="dxa"/>
          </w:tcPr>
          <w:p w14:paraId="4FDFDEAF" w14:textId="11F24FFC" w:rsidR="00553212" w:rsidRDefault="00553212" w:rsidP="00553212">
            <w:r>
              <w:t>§ 44-6206(5)</w:t>
            </w:r>
          </w:p>
        </w:tc>
        <w:tc>
          <w:tcPr>
            <w:tcW w:w="3022" w:type="dxa"/>
          </w:tcPr>
          <w:p w14:paraId="5A6EB345" w14:textId="76768A44" w:rsidR="00553212" w:rsidRPr="00A0019E" w:rsidRDefault="00553212" w:rsidP="00553212">
            <w:pPr>
              <w:rPr>
                <w:sz w:val="21"/>
                <w:szCs w:val="21"/>
              </w:rPr>
            </w:pPr>
            <w:r w:rsidRPr="00553212">
              <w:rPr>
                <w:sz w:val="21"/>
                <w:szCs w:val="21"/>
              </w:rPr>
              <w:t>(c) The plans or proposals the assuming insurer has with respect to the administration of the policies subject to the proposed transfer</w:t>
            </w:r>
          </w:p>
        </w:tc>
        <w:tc>
          <w:tcPr>
            <w:tcW w:w="1376" w:type="dxa"/>
          </w:tcPr>
          <w:p w14:paraId="63E033C8" w14:textId="77777777" w:rsidR="00553212" w:rsidRPr="00A0019E" w:rsidRDefault="00553212" w:rsidP="00553212">
            <w:pPr>
              <w:rPr>
                <w:sz w:val="21"/>
                <w:szCs w:val="21"/>
              </w:rPr>
            </w:pPr>
          </w:p>
        </w:tc>
      </w:tr>
      <w:tr w:rsidR="00553212" w:rsidRPr="00A0019E" w14:paraId="20CCD927" w14:textId="77777777" w:rsidTr="00005C87">
        <w:tc>
          <w:tcPr>
            <w:tcW w:w="1174" w:type="dxa"/>
          </w:tcPr>
          <w:p w14:paraId="383734AB" w14:textId="26B903E8" w:rsidR="00553212" w:rsidRPr="00A0019E" w:rsidRDefault="00553212" w:rsidP="00553212">
            <w:pPr>
              <w:rPr>
                <w:sz w:val="21"/>
                <w:szCs w:val="21"/>
              </w:rPr>
            </w:pPr>
            <w:r w:rsidRPr="00A0019E">
              <w:rPr>
                <w:sz w:val="21"/>
                <w:szCs w:val="21"/>
              </w:rPr>
              <w:sym w:font="Wingdings" w:char="F06F"/>
            </w:r>
          </w:p>
        </w:tc>
        <w:tc>
          <w:tcPr>
            <w:tcW w:w="2316" w:type="dxa"/>
          </w:tcPr>
          <w:p w14:paraId="38EC4E73" w14:textId="3FA36E88" w:rsidR="00553212" w:rsidRPr="00A0019E" w:rsidRDefault="00553212" w:rsidP="00553212">
            <w:pPr>
              <w:rPr>
                <w:sz w:val="21"/>
                <w:szCs w:val="21"/>
              </w:rPr>
            </w:pPr>
            <w:r>
              <w:rPr>
                <w:sz w:val="21"/>
                <w:szCs w:val="21"/>
              </w:rPr>
              <w:t>Factors considered in reviewing a request for approval</w:t>
            </w:r>
          </w:p>
        </w:tc>
        <w:tc>
          <w:tcPr>
            <w:tcW w:w="1462" w:type="dxa"/>
          </w:tcPr>
          <w:p w14:paraId="5C8A72CF" w14:textId="7BD42C5F" w:rsidR="00553212" w:rsidRDefault="00553212" w:rsidP="00553212">
            <w:r>
              <w:t>§ 44-6206(5)</w:t>
            </w:r>
          </w:p>
        </w:tc>
        <w:tc>
          <w:tcPr>
            <w:tcW w:w="3022" w:type="dxa"/>
          </w:tcPr>
          <w:p w14:paraId="466351A8" w14:textId="76B995AA" w:rsidR="00553212" w:rsidRPr="00A0019E" w:rsidRDefault="00553212" w:rsidP="00553212">
            <w:pPr>
              <w:rPr>
                <w:sz w:val="21"/>
                <w:szCs w:val="21"/>
              </w:rPr>
            </w:pPr>
            <w:r w:rsidRPr="00553212">
              <w:rPr>
                <w:sz w:val="21"/>
                <w:szCs w:val="21"/>
              </w:rPr>
              <w:t>(d) Whether the transfer is fair and reasonable to the policyholders of both insurers</w:t>
            </w:r>
          </w:p>
        </w:tc>
        <w:tc>
          <w:tcPr>
            <w:tcW w:w="1376" w:type="dxa"/>
          </w:tcPr>
          <w:p w14:paraId="6B40676E" w14:textId="77777777" w:rsidR="00553212" w:rsidRPr="00A0019E" w:rsidRDefault="00553212" w:rsidP="00553212">
            <w:pPr>
              <w:rPr>
                <w:sz w:val="21"/>
                <w:szCs w:val="21"/>
              </w:rPr>
            </w:pPr>
          </w:p>
        </w:tc>
      </w:tr>
      <w:tr w:rsidR="00553212" w:rsidRPr="00A0019E" w14:paraId="44E979F7" w14:textId="77777777" w:rsidTr="00005C87">
        <w:tc>
          <w:tcPr>
            <w:tcW w:w="1174" w:type="dxa"/>
          </w:tcPr>
          <w:p w14:paraId="0AE9FEF3" w14:textId="22D7A35D" w:rsidR="00553212" w:rsidRPr="00A0019E" w:rsidRDefault="00553212" w:rsidP="00553212">
            <w:pPr>
              <w:rPr>
                <w:sz w:val="21"/>
                <w:szCs w:val="21"/>
              </w:rPr>
            </w:pPr>
            <w:r w:rsidRPr="00A0019E">
              <w:rPr>
                <w:sz w:val="21"/>
                <w:szCs w:val="21"/>
              </w:rPr>
              <w:sym w:font="Wingdings" w:char="F06F"/>
            </w:r>
          </w:p>
        </w:tc>
        <w:tc>
          <w:tcPr>
            <w:tcW w:w="2316" w:type="dxa"/>
          </w:tcPr>
          <w:p w14:paraId="4DE657EA" w14:textId="6E1F239C" w:rsidR="00553212" w:rsidRPr="00A0019E" w:rsidRDefault="00553212" w:rsidP="00553212">
            <w:pPr>
              <w:rPr>
                <w:sz w:val="21"/>
                <w:szCs w:val="21"/>
              </w:rPr>
            </w:pPr>
            <w:r>
              <w:rPr>
                <w:sz w:val="21"/>
                <w:szCs w:val="21"/>
              </w:rPr>
              <w:t>Factors considered in reviewing a request for approval</w:t>
            </w:r>
          </w:p>
        </w:tc>
        <w:tc>
          <w:tcPr>
            <w:tcW w:w="1462" w:type="dxa"/>
          </w:tcPr>
          <w:p w14:paraId="18C78939" w14:textId="3BA614BA" w:rsidR="00553212" w:rsidRDefault="00553212" w:rsidP="00553212">
            <w:r>
              <w:t>§ 44-6206(5)</w:t>
            </w:r>
          </w:p>
        </w:tc>
        <w:tc>
          <w:tcPr>
            <w:tcW w:w="3022" w:type="dxa"/>
          </w:tcPr>
          <w:p w14:paraId="39E801AF" w14:textId="129C3048" w:rsidR="00553212" w:rsidRPr="00A0019E" w:rsidRDefault="00553212" w:rsidP="00553212">
            <w:pPr>
              <w:rPr>
                <w:sz w:val="21"/>
                <w:szCs w:val="21"/>
              </w:rPr>
            </w:pPr>
            <w:r w:rsidRPr="00553212">
              <w:rPr>
                <w:sz w:val="21"/>
                <w:szCs w:val="21"/>
              </w:rPr>
              <w:t>(e) Whether the notice of transfer to be provided by the insurer is fair, adequate, and not misleading</w:t>
            </w:r>
            <w:r>
              <w:rPr>
                <w:sz w:val="21"/>
                <w:szCs w:val="21"/>
              </w:rPr>
              <w:t xml:space="preserve"> (note that L&amp;H will request any needed changes to the Notice of Transfer during its review to ensure the notice is fair, adequate, and not misleading)</w:t>
            </w:r>
          </w:p>
        </w:tc>
        <w:tc>
          <w:tcPr>
            <w:tcW w:w="1376" w:type="dxa"/>
          </w:tcPr>
          <w:p w14:paraId="14957656" w14:textId="77777777" w:rsidR="00553212" w:rsidRPr="00A0019E" w:rsidRDefault="00553212" w:rsidP="00553212">
            <w:pPr>
              <w:rPr>
                <w:sz w:val="21"/>
                <w:szCs w:val="21"/>
              </w:rPr>
            </w:pPr>
          </w:p>
        </w:tc>
      </w:tr>
      <w:tr w:rsidR="00553212" w:rsidRPr="00A0019E" w14:paraId="7CD2B6CA" w14:textId="77777777" w:rsidTr="00005C87">
        <w:tc>
          <w:tcPr>
            <w:tcW w:w="1174" w:type="dxa"/>
          </w:tcPr>
          <w:p w14:paraId="00B97908" w14:textId="45A2F695" w:rsidR="00553212" w:rsidRPr="00A0019E" w:rsidRDefault="00553212" w:rsidP="00553212">
            <w:pPr>
              <w:rPr>
                <w:sz w:val="21"/>
                <w:szCs w:val="21"/>
              </w:rPr>
            </w:pPr>
            <w:r w:rsidRPr="00A0019E">
              <w:rPr>
                <w:sz w:val="21"/>
                <w:szCs w:val="21"/>
              </w:rPr>
              <w:sym w:font="Wingdings" w:char="F06F"/>
            </w:r>
          </w:p>
        </w:tc>
        <w:tc>
          <w:tcPr>
            <w:tcW w:w="2316" w:type="dxa"/>
          </w:tcPr>
          <w:p w14:paraId="6664D131" w14:textId="71994A68" w:rsidR="00553212" w:rsidRPr="00A0019E" w:rsidRDefault="00553212" w:rsidP="00553212">
            <w:pPr>
              <w:rPr>
                <w:sz w:val="21"/>
                <w:szCs w:val="21"/>
              </w:rPr>
            </w:pPr>
            <w:r>
              <w:rPr>
                <w:sz w:val="21"/>
                <w:szCs w:val="21"/>
              </w:rPr>
              <w:t>Special circumstances for companies in hazardous financial condition</w:t>
            </w:r>
          </w:p>
        </w:tc>
        <w:tc>
          <w:tcPr>
            <w:tcW w:w="1462" w:type="dxa"/>
          </w:tcPr>
          <w:p w14:paraId="44BA21DD" w14:textId="37D11D4C" w:rsidR="00553212" w:rsidRDefault="00553212" w:rsidP="00553212">
            <w:r>
              <w:t>§ 44-6209</w:t>
            </w:r>
          </w:p>
        </w:tc>
        <w:tc>
          <w:tcPr>
            <w:tcW w:w="3022" w:type="dxa"/>
          </w:tcPr>
          <w:p w14:paraId="33B1F127" w14:textId="05834C79" w:rsidR="00553212" w:rsidRPr="00A0019E" w:rsidRDefault="00553212" w:rsidP="00553212">
            <w:pPr>
              <w:rPr>
                <w:sz w:val="21"/>
                <w:szCs w:val="21"/>
              </w:rPr>
            </w:pPr>
            <w:r>
              <w:rPr>
                <w:sz w:val="21"/>
                <w:szCs w:val="21"/>
              </w:rPr>
              <w:t>Transfer and novation may be effected notwithstanding provisions of the Assumption Reinsurance Act if certain financial triggers are met and if the transfer of the contracts is in the best interest of the policyholders.</w:t>
            </w:r>
          </w:p>
        </w:tc>
        <w:tc>
          <w:tcPr>
            <w:tcW w:w="1376" w:type="dxa"/>
          </w:tcPr>
          <w:p w14:paraId="4C7D4527" w14:textId="77777777" w:rsidR="00553212" w:rsidRPr="00A0019E" w:rsidRDefault="00553212" w:rsidP="00553212">
            <w:pPr>
              <w:rPr>
                <w:sz w:val="21"/>
                <w:szCs w:val="21"/>
              </w:rPr>
            </w:pPr>
          </w:p>
        </w:tc>
      </w:tr>
      <w:tr w:rsidR="00553212" w:rsidRPr="00A0019E" w14:paraId="3C30E0E1" w14:textId="77777777" w:rsidTr="00796D1D">
        <w:tc>
          <w:tcPr>
            <w:tcW w:w="1174" w:type="dxa"/>
            <w:shd w:val="clear" w:color="auto" w:fill="E7E6E6" w:themeFill="background2"/>
          </w:tcPr>
          <w:p w14:paraId="0E0B5A1A" w14:textId="77777777" w:rsidR="00553212" w:rsidRPr="00A0019E" w:rsidRDefault="00553212" w:rsidP="00553212">
            <w:pPr>
              <w:rPr>
                <w:b/>
                <w:sz w:val="21"/>
                <w:szCs w:val="21"/>
              </w:rPr>
            </w:pPr>
          </w:p>
        </w:tc>
        <w:tc>
          <w:tcPr>
            <w:tcW w:w="8176" w:type="dxa"/>
            <w:gridSpan w:val="4"/>
            <w:shd w:val="clear" w:color="auto" w:fill="E7E6E6" w:themeFill="background2"/>
          </w:tcPr>
          <w:p w14:paraId="132E40B3" w14:textId="6B8088F4" w:rsidR="006D5A12" w:rsidRDefault="00553212" w:rsidP="006D5A12">
            <w:pPr>
              <w:rPr>
                <w:b/>
                <w:bCs/>
                <w:sz w:val="21"/>
                <w:szCs w:val="21"/>
              </w:rPr>
            </w:pPr>
            <w:r>
              <w:rPr>
                <w:b/>
                <w:sz w:val="21"/>
                <w:szCs w:val="21"/>
              </w:rPr>
              <w:t>STEP ONE: Documentation of transfer where transferring and assuming insurers are not Nebraska domestics</w:t>
            </w:r>
            <w:r w:rsidR="006D5A12">
              <w:rPr>
                <w:b/>
                <w:sz w:val="21"/>
                <w:szCs w:val="21"/>
              </w:rPr>
              <w:t xml:space="preserve"> </w:t>
            </w:r>
            <w:r w:rsidR="006D5A12">
              <w:rPr>
                <w:b/>
                <w:bCs/>
                <w:sz w:val="21"/>
                <w:szCs w:val="21"/>
              </w:rPr>
              <w:t>AND</w:t>
            </w:r>
            <w:r w:rsidR="006D5A12">
              <w:rPr>
                <w:b/>
                <w:bCs/>
                <w:sz w:val="21"/>
                <w:szCs w:val="21"/>
              </w:rPr>
              <w:t xml:space="preserve"> the foreign domiciles have laws substantially </w:t>
            </w:r>
            <w:r w:rsidR="006D5A12" w:rsidRPr="003C3FF2">
              <w:rPr>
                <w:b/>
                <w:bCs/>
                <w:sz w:val="21"/>
                <w:szCs w:val="21"/>
              </w:rPr>
              <w:t>similar to the Assumption Reinsurance Act, Neb. Rev. Stat. §§ 44-6201 to 44-6211, in both the transferring and assuming insurers’ domicile</w:t>
            </w:r>
            <w:r w:rsidR="006D5A12">
              <w:rPr>
                <w:b/>
                <w:bCs/>
                <w:sz w:val="21"/>
                <w:szCs w:val="21"/>
              </w:rPr>
              <w:t>.</w:t>
            </w:r>
          </w:p>
          <w:p w14:paraId="4BBA1127" w14:textId="5CE90BC9" w:rsidR="00553212" w:rsidRPr="00553212" w:rsidRDefault="00553212" w:rsidP="00553212">
            <w:pPr>
              <w:rPr>
                <w:bCs/>
                <w:sz w:val="21"/>
                <w:szCs w:val="21"/>
              </w:rPr>
            </w:pPr>
            <w:r w:rsidRPr="00553212">
              <w:rPr>
                <w:bCs/>
                <w:sz w:val="21"/>
                <w:szCs w:val="21"/>
              </w:rPr>
              <w:t>L&amp;H analyst can review</w:t>
            </w:r>
            <w:r>
              <w:rPr>
                <w:bCs/>
                <w:sz w:val="21"/>
                <w:szCs w:val="21"/>
              </w:rPr>
              <w:t>.  I</w:t>
            </w:r>
            <w:r w:rsidRPr="00553212">
              <w:rPr>
                <w:bCs/>
                <w:sz w:val="21"/>
                <w:szCs w:val="21"/>
              </w:rPr>
              <w:t>f any issues, transfer review to General Counsel with explanation.</w:t>
            </w:r>
          </w:p>
        </w:tc>
      </w:tr>
      <w:tr w:rsidR="00553212" w:rsidRPr="00A0019E" w14:paraId="3ADB334E" w14:textId="77777777" w:rsidTr="00005C87">
        <w:tc>
          <w:tcPr>
            <w:tcW w:w="1174" w:type="dxa"/>
          </w:tcPr>
          <w:p w14:paraId="76428478" w14:textId="135FA9DE" w:rsidR="00553212" w:rsidRPr="00A0019E" w:rsidRDefault="00553212" w:rsidP="00553212">
            <w:pPr>
              <w:rPr>
                <w:sz w:val="21"/>
                <w:szCs w:val="21"/>
              </w:rPr>
            </w:pPr>
            <w:r w:rsidRPr="00A0019E">
              <w:rPr>
                <w:sz w:val="21"/>
                <w:szCs w:val="21"/>
              </w:rPr>
              <w:sym w:font="Wingdings" w:char="F06F"/>
            </w:r>
          </w:p>
        </w:tc>
        <w:tc>
          <w:tcPr>
            <w:tcW w:w="2316" w:type="dxa"/>
          </w:tcPr>
          <w:p w14:paraId="3A2FFE2A" w14:textId="01BE14BA" w:rsidR="00553212" w:rsidRPr="00A0019E" w:rsidRDefault="00553212" w:rsidP="00553212">
            <w:pPr>
              <w:rPr>
                <w:sz w:val="21"/>
                <w:szCs w:val="21"/>
              </w:rPr>
            </w:pPr>
            <w:r>
              <w:rPr>
                <w:sz w:val="21"/>
                <w:szCs w:val="21"/>
              </w:rPr>
              <w:t>Assumption certificate</w:t>
            </w:r>
          </w:p>
        </w:tc>
        <w:tc>
          <w:tcPr>
            <w:tcW w:w="1462" w:type="dxa"/>
          </w:tcPr>
          <w:p w14:paraId="6A74FBB5" w14:textId="49AA6394" w:rsidR="00553212" w:rsidRPr="00A0019E" w:rsidRDefault="005216CE" w:rsidP="00553212">
            <w:pPr>
              <w:rPr>
                <w:sz w:val="21"/>
                <w:szCs w:val="21"/>
              </w:rPr>
            </w:pPr>
            <w:r>
              <w:rPr>
                <w:sz w:val="21"/>
                <w:szCs w:val="21"/>
              </w:rPr>
              <w:t>§ 44-6206(2)</w:t>
            </w:r>
          </w:p>
        </w:tc>
        <w:tc>
          <w:tcPr>
            <w:tcW w:w="3022" w:type="dxa"/>
          </w:tcPr>
          <w:p w14:paraId="24E9358F" w14:textId="54AB8341" w:rsidR="00553212" w:rsidRPr="00A0019E" w:rsidRDefault="00553212" w:rsidP="00553212">
            <w:pPr>
              <w:rPr>
                <w:sz w:val="21"/>
                <w:szCs w:val="21"/>
              </w:rPr>
            </w:pPr>
            <w:r>
              <w:rPr>
                <w:sz w:val="21"/>
                <w:szCs w:val="21"/>
              </w:rPr>
              <w:t>Documentation of approval in domiciles for both transferring and assuming insurers.</w:t>
            </w:r>
          </w:p>
        </w:tc>
        <w:tc>
          <w:tcPr>
            <w:tcW w:w="1376" w:type="dxa"/>
          </w:tcPr>
          <w:p w14:paraId="21B86A85" w14:textId="77777777" w:rsidR="00553212" w:rsidRPr="00A0019E" w:rsidRDefault="00553212" w:rsidP="00553212">
            <w:pPr>
              <w:rPr>
                <w:sz w:val="21"/>
                <w:szCs w:val="21"/>
              </w:rPr>
            </w:pPr>
          </w:p>
        </w:tc>
      </w:tr>
      <w:tr w:rsidR="00553212" w:rsidRPr="00A0019E" w14:paraId="6711BD33" w14:textId="77777777" w:rsidTr="00005C87">
        <w:tc>
          <w:tcPr>
            <w:tcW w:w="1174" w:type="dxa"/>
          </w:tcPr>
          <w:p w14:paraId="60217119" w14:textId="2837AFBB" w:rsidR="00553212" w:rsidRPr="00A0019E" w:rsidRDefault="00553212" w:rsidP="00553212">
            <w:pPr>
              <w:rPr>
                <w:sz w:val="21"/>
                <w:szCs w:val="21"/>
              </w:rPr>
            </w:pPr>
            <w:r w:rsidRPr="00A0019E">
              <w:rPr>
                <w:sz w:val="21"/>
                <w:szCs w:val="21"/>
              </w:rPr>
              <w:sym w:font="Wingdings" w:char="F06F"/>
            </w:r>
          </w:p>
        </w:tc>
        <w:tc>
          <w:tcPr>
            <w:tcW w:w="2316" w:type="dxa"/>
          </w:tcPr>
          <w:p w14:paraId="7DFCAD30" w14:textId="318848EF" w:rsidR="00553212" w:rsidRPr="00A0019E" w:rsidRDefault="00553212" w:rsidP="00553212">
            <w:pPr>
              <w:rPr>
                <w:sz w:val="21"/>
                <w:szCs w:val="21"/>
              </w:rPr>
            </w:pPr>
            <w:r>
              <w:rPr>
                <w:sz w:val="21"/>
                <w:szCs w:val="21"/>
              </w:rPr>
              <w:t>Affidavit</w:t>
            </w:r>
          </w:p>
        </w:tc>
        <w:tc>
          <w:tcPr>
            <w:tcW w:w="1462" w:type="dxa"/>
          </w:tcPr>
          <w:p w14:paraId="618CF3DC" w14:textId="1EF091EA" w:rsidR="00553212" w:rsidRPr="00A0019E" w:rsidRDefault="005216CE" w:rsidP="00553212">
            <w:pPr>
              <w:rPr>
                <w:sz w:val="21"/>
                <w:szCs w:val="21"/>
              </w:rPr>
            </w:pPr>
            <w:r>
              <w:rPr>
                <w:sz w:val="21"/>
                <w:szCs w:val="21"/>
              </w:rPr>
              <w:t>§ 44-6206(2)</w:t>
            </w:r>
          </w:p>
        </w:tc>
        <w:tc>
          <w:tcPr>
            <w:tcW w:w="3022" w:type="dxa"/>
          </w:tcPr>
          <w:p w14:paraId="77742EA3" w14:textId="45DE540A" w:rsidR="00553212" w:rsidRPr="00A0019E" w:rsidRDefault="00553212" w:rsidP="00553212">
            <w:pPr>
              <w:rPr>
                <w:sz w:val="21"/>
                <w:szCs w:val="21"/>
              </w:rPr>
            </w:pPr>
            <w:r>
              <w:rPr>
                <w:sz w:val="21"/>
                <w:szCs w:val="21"/>
              </w:rPr>
              <w:t xml:space="preserve">Must state that the transaction is subject to assumption reinsurance agreements substantially similar to those in the Assumption Reinsurance Act, Neb. Rev. Stat. §§ 44-6201 </w:t>
            </w:r>
            <w:r>
              <w:rPr>
                <w:sz w:val="21"/>
                <w:szCs w:val="21"/>
              </w:rPr>
              <w:lastRenderedPageBreak/>
              <w:t>to 44-6211, in both the transferring and assuming insurers’ domicile.</w:t>
            </w:r>
          </w:p>
        </w:tc>
        <w:tc>
          <w:tcPr>
            <w:tcW w:w="1376" w:type="dxa"/>
          </w:tcPr>
          <w:p w14:paraId="3F2E1CC0" w14:textId="77777777" w:rsidR="00553212" w:rsidRPr="00A0019E" w:rsidRDefault="00553212" w:rsidP="00553212">
            <w:pPr>
              <w:rPr>
                <w:sz w:val="21"/>
                <w:szCs w:val="21"/>
              </w:rPr>
            </w:pPr>
          </w:p>
        </w:tc>
      </w:tr>
      <w:tr w:rsidR="00553212" w:rsidRPr="00A0019E" w14:paraId="7DD15027" w14:textId="77777777" w:rsidTr="00796D1D">
        <w:tc>
          <w:tcPr>
            <w:tcW w:w="1174" w:type="dxa"/>
            <w:shd w:val="clear" w:color="auto" w:fill="E7E6E6" w:themeFill="background2"/>
          </w:tcPr>
          <w:p w14:paraId="421CFAA2" w14:textId="77777777" w:rsidR="00553212" w:rsidRPr="00A0019E" w:rsidRDefault="00553212" w:rsidP="00553212">
            <w:pPr>
              <w:rPr>
                <w:b/>
                <w:sz w:val="21"/>
                <w:szCs w:val="21"/>
              </w:rPr>
            </w:pPr>
          </w:p>
        </w:tc>
        <w:tc>
          <w:tcPr>
            <w:tcW w:w="8176" w:type="dxa"/>
            <w:gridSpan w:val="4"/>
            <w:shd w:val="clear" w:color="auto" w:fill="E7E6E6" w:themeFill="background2"/>
          </w:tcPr>
          <w:p w14:paraId="41DA4578" w14:textId="77777777" w:rsidR="00553212" w:rsidRDefault="00553212" w:rsidP="00553212">
            <w:pPr>
              <w:rPr>
                <w:b/>
                <w:sz w:val="21"/>
                <w:szCs w:val="21"/>
              </w:rPr>
            </w:pPr>
            <w:r>
              <w:rPr>
                <w:b/>
                <w:sz w:val="21"/>
                <w:szCs w:val="21"/>
              </w:rPr>
              <w:t>STEP TWO: Notice of Transfer</w:t>
            </w:r>
          </w:p>
          <w:p w14:paraId="6B704A76" w14:textId="77777777" w:rsidR="00553212" w:rsidRDefault="00553212" w:rsidP="00553212">
            <w:pPr>
              <w:rPr>
                <w:b/>
                <w:sz w:val="21"/>
                <w:szCs w:val="21"/>
              </w:rPr>
            </w:pPr>
            <w:r>
              <w:rPr>
                <w:b/>
                <w:sz w:val="21"/>
                <w:szCs w:val="21"/>
              </w:rPr>
              <w:t>Review by L&amp;H Analyst</w:t>
            </w:r>
            <w:r w:rsidR="006B4A1C">
              <w:rPr>
                <w:b/>
                <w:sz w:val="21"/>
                <w:szCs w:val="21"/>
              </w:rPr>
              <w:t xml:space="preserve"> if not approved in the transferring and assuming domiciles.</w:t>
            </w:r>
          </w:p>
          <w:p w14:paraId="7AED548B" w14:textId="6A96BB8C" w:rsidR="003C3FF2" w:rsidRPr="00A0019E" w:rsidRDefault="003C3FF2" w:rsidP="00553212">
            <w:pPr>
              <w:rPr>
                <w:sz w:val="21"/>
                <w:szCs w:val="21"/>
              </w:rPr>
            </w:pPr>
            <w:r>
              <w:rPr>
                <w:sz w:val="21"/>
                <w:szCs w:val="21"/>
              </w:rPr>
              <w:t xml:space="preserve">Appendix A of the NAIC Assumption Reinsurance Model Act, online at </w:t>
            </w:r>
            <w:hyperlink r:id="rId8" w:history="1">
              <w:r w:rsidRPr="003878EC">
                <w:rPr>
                  <w:rStyle w:val="Hyperlink"/>
                  <w:sz w:val="21"/>
                  <w:szCs w:val="21"/>
                </w:rPr>
                <w:t>https://content.naic.org/sites/default/files/inline-files/MDL-803.pdf</w:t>
              </w:r>
            </w:hyperlink>
            <w:r>
              <w:rPr>
                <w:sz w:val="21"/>
                <w:szCs w:val="21"/>
              </w:rPr>
              <w:t xml:space="preserve">, provides a form that insurers can use for the Notice of Transfer.  </w:t>
            </w:r>
          </w:p>
        </w:tc>
      </w:tr>
      <w:tr w:rsidR="00C17C42" w:rsidRPr="00A0019E" w14:paraId="20091998" w14:textId="77777777" w:rsidTr="00005C87">
        <w:trPr>
          <w:trHeight w:val="233"/>
        </w:trPr>
        <w:tc>
          <w:tcPr>
            <w:tcW w:w="1174" w:type="dxa"/>
          </w:tcPr>
          <w:p w14:paraId="31F66B11" w14:textId="5EBF2D04" w:rsidR="00C17C42" w:rsidRPr="00A0019E" w:rsidRDefault="00B55882" w:rsidP="00553212">
            <w:pPr>
              <w:rPr>
                <w:sz w:val="21"/>
                <w:szCs w:val="21"/>
              </w:rPr>
            </w:pPr>
            <w:r w:rsidRPr="00A0019E">
              <w:rPr>
                <w:sz w:val="21"/>
                <w:szCs w:val="21"/>
              </w:rPr>
              <w:sym w:font="Wingdings" w:char="F06F"/>
            </w:r>
          </w:p>
        </w:tc>
        <w:tc>
          <w:tcPr>
            <w:tcW w:w="2316" w:type="dxa"/>
          </w:tcPr>
          <w:p w14:paraId="557636ED" w14:textId="1CC0482C" w:rsidR="00C17C42" w:rsidRPr="00A0019E" w:rsidRDefault="00C17C42" w:rsidP="00553212">
            <w:pPr>
              <w:rPr>
                <w:sz w:val="21"/>
                <w:szCs w:val="21"/>
              </w:rPr>
            </w:pPr>
            <w:r>
              <w:rPr>
                <w:sz w:val="21"/>
                <w:szCs w:val="21"/>
              </w:rPr>
              <w:t xml:space="preserve">Approval in </w:t>
            </w:r>
            <w:r w:rsidR="006B4A1C">
              <w:rPr>
                <w:sz w:val="21"/>
                <w:szCs w:val="21"/>
              </w:rPr>
              <w:t>domicile</w:t>
            </w:r>
            <w:r>
              <w:rPr>
                <w:sz w:val="21"/>
                <w:szCs w:val="21"/>
              </w:rPr>
              <w:t xml:space="preserve"> states</w:t>
            </w:r>
          </w:p>
        </w:tc>
        <w:tc>
          <w:tcPr>
            <w:tcW w:w="1462" w:type="dxa"/>
          </w:tcPr>
          <w:p w14:paraId="33261470" w14:textId="3A56675D" w:rsidR="00C17C42" w:rsidRDefault="005216CE" w:rsidP="00553212">
            <w:pPr>
              <w:rPr>
                <w:sz w:val="21"/>
                <w:szCs w:val="21"/>
              </w:rPr>
            </w:pPr>
            <w:r>
              <w:rPr>
                <w:sz w:val="21"/>
                <w:szCs w:val="21"/>
              </w:rPr>
              <w:t>Bypasses review for the notice of transfer</w:t>
            </w:r>
          </w:p>
        </w:tc>
        <w:tc>
          <w:tcPr>
            <w:tcW w:w="3022" w:type="dxa"/>
          </w:tcPr>
          <w:p w14:paraId="56EAED92" w14:textId="4E566CC1" w:rsidR="00C17C42" w:rsidRPr="00A0019E" w:rsidRDefault="00C17C42" w:rsidP="00553212">
            <w:pPr>
              <w:rPr>
                <w:sz w:val="21"/>
                <w:szCs w:val="21"/>
              </w:rPr>
            </w:pPr>
            <w:r>
              <w:rPr>
                <w:sz w:val="21"/>
                <w:szCs w:val="21"/>
              </w:rPr>
              <w:t xml:space="preserve">If the transfer has been approved in the domicile state of both the transferring and assuming insurer, and a notice form has been approved in those states, please provide that form </w:t>
            </w:r>
            <w:r w:rsidR="005216CE">
              <w:rPr>
                <w:sz w:val="21"/>
                <w:szCs w:val="21"/>
              </w:rPr>
              <w:t>and proof of approval – this will be sufficient for Nebraska DOI and our reviewers will not separately review the form.</w:t>
            </w:r>
          </w:p>
        </w:tc>
        <w:tc>
          <w:tcPr>
            <w:tcW w:w="1376" w:type="dxa"/>
          </w:tcPr>
          <w:p w14:paraId="0DA8CE90" w14:textId="77777777" w:rsidR="00C17C42" w:rsidRPr="00A0019E" w:rsidRDefault="00C17C42" w:rsidP="00553212">
            <w:pPr>
              <w:rPr>
                <w:sz w:val="21"/>
                <w:szCs w:val="21"/>
              </w:rPr>
            </w:pPr>
          </w:p>
        </w:tc>
      </w:tr>
      <w:tr w:rsidR="00553212" w:rsidRPr="00A0019E" w14:paraId="2627780E" w14:textId="77777777" w:rsidTr="00005C87">
        <w:trPr>
          <w:trHeight w:val="233"/>
        </w:trPr>
        <w:tc>
          <w:tcPr>
            <w:tcW w:w="1174" w:type="dxa"/>
          </w:tcPr>
          <w:p w14:paraId="55105440" w14:textId="1644C525" w:rsidR="00553212" w:rsidRPr="00A0019E" w:rsidRDefault="00553212" w:rsidP="00553212">
            <w:pPr>
              <w:rPr>
                <w:sz w:val="21"/>
                <w:szCs w:val="21"/>
              </w:rPr>
            </w:pPr>
            <w:r w:rsidRPr="00A0019E">
              <w:rPr>
                <w:sz w:val="21"/>
                <w:szCs w:val="21"/>
              </w:rPr>
              <w:sym w:font="Wingdings" w:char="F06F"/>
            </w:r>
          </w:p>
        </w:tc>
        <w:tc>
          <w:tcPr>
            <w:tcW w:w="2316" w:type="dxa"/>
          </w:tcPr>
          <w:p w14:paraId="6E7D0A24" w14:textId="674BD9F5" w:rsidR="00553212" w:rsidRPr="00A0019E" w:rsidRDefault="00553212" w:rsidP="00553212">
            <w:pPr>
              <w:rPr>
                <w:sz w:val="21"/>
                <w:szCs w:val="21"/>
              </w:rPr>
            </w:pPr>
            <w:r w:rsidRPr="00A0019E">
              <w:rPr>
                <w:sz w:val="21"/>
                <w:szCs w:val="21"/>
              </w:rPr>
              <w:t>Form number</w:t>
            </w:r>
          </w:p>
        </w:tc>
        <w:tc>
          <w:tcPr>
            <w:tcW w:w="1462" w:type="dxa"/>
          </w:tcPr>
          <w:p w14:paraId="4DFB00B0" w14:textId="767B0DC1" w:rsidR="00553212" w:rsidRPr="00A0019E" w:rsidRDefault="00553212" w:rsidP="00553212">
            <w:pPr>
              <w:rPr>
                <w:sz w:val="21"/>
                <w:szCs w:val="21"/>
              </w:rPr>
            </w:pPr>
            <w:r>
              <w:rPr>
                <w:sz w:val="21"/>
                <w:szCs w:val="21"/>
              </w:rPr>
              <w:t xml:space="preserve">Required for tracking </w:t>
            </w:r>
          </w:p>
        </w:tc>
        <w:tc>
          <w:tcPr>
            <w:tcW w:w="3022" w:type="dxa"/>
          </w:tcPr>
          <w:p w14:paraId="31563249" w14:textId="590BB8BC" w:rsidR="00553212" w:rsidRPr="00A0019E" w:rsidRDefault="00553212" w:rsidP="00553212">
            <w:pPr>
              <w:rPr>
                <w:sz w:val="21"/>
                <w:szCs w:val="21"/>
              </w:rPr>
            </w:pPr>
            <w:r w:rsidRPr="00A0019E">
              <w:rPr>
                <w:sz w:val="21"/>
                <w:szCs w:val="21"/>
              </w:rPr>
              <w:t>Must be on all pages including cover, in the lower left corner to identify and distinguish form from all others used by company. Must match form number on SERFF Form Schedule tab and NE Filing Form List</w:t>
            </w:r>
            <w:r>
              <w:rPr>
                <w:sz w:val="21"/>
                <w:szCs w:val="21"/>
              </w:rPr>
              <w:t>.</w:t>
            </w:r>
          </w:p>
        </w:tc>
        <w:tc>
          <w:tcPr>
            <w:tcW w:w="1376" w:type="dxa"/>
          </w:tcPr>
          <w:p w14:paraId="52D3E5E6" w14:textId="77777777" w:rsidR="00553212" w:rsidRPr="00A0019E" w:rsidRDefault="00553212" w:rsidP="00553212">
            <w:pPr>
              <w:rPr>
                <w:sz w:val="21"/>
                <w:szCs w:val="21"/>
              </w:rPr>
            </w:pPr>
          </w:p>
        </w:tc>
      </w:tr>
      <w:tr w:rsidR="00553212" w:rsidRPr="00A0019E" w14:paraId="12D49C0B" w14:textId="77777777" w:rsidTr="00005C87">
        <w:trPr>
          <w:trHeight w:val="233"/>
        </w:trPr>
        <w:tc>
          <w:tcPr>
            <w:tcW w:w="1174" w:type="dxa"/>
          </w:tcPr>
          <w:p w14:paraId="4489B1F8" w14:textId="6D0F2771" w:rsidR="00553212" w:rsidRPr="00A0019E" w:rsidRDefault="00553212" w:rsidP="00553212">
            <w:pPr>
              <w:rPr>
                <w:sz w:val="21"/>
                <w:szCs w:val="21"/>
              </w:rPr>
            </w:pPr>
            <w:r w:rsidRPr="00A0019E">
              <w:rPr>
                <w:sz w:val="21"/>
                <w:szCs w:val="21"/>
              </w:rPr>
              <w:sym w:font="Wingdings" w:char="F06F"/>
            </w:r>
          </w:p>
        </w:tc>
        <w:tc>
          <w:tcPr>
            <w:tcW w:w="2316" w:type="dxa"/>
          </w:tcPr>
          <w:p w14:paraId="717D5C2B" w14:textId="5FD97B2F" w:rsidR="00553212" w:rsidRPr="00A0019E" w:rsidRDefault="002B65A6" w:rsidP="00553212">
            <w:pPr>
              <w:rPr>
                <w:sz w:val="21"/>
                <w:szCs w:val="21"/>
              </w:rPr>
            </w:pPr>
            <w:r>
              <w:rPr>
                <w:sz w:val="21"/>
                <w:szCs w:val="21"/>
              </w:rPr>
              <w:t>First-class mail to PH and notice to agents and brokers</w:t>
            </w:r>
          </w:p>
        </w:tc>
        <w:tc>
          <w:tcPr>
            <w:tcW w:w="1462" w:type="dxa"/>
          </w:tcPr>
          <w:p w14:paraId="7145DF18" w14:textId="79B176FE" w:rsidR="00553212" w:rsidRPr="00A0019E" w:rsidRDefault="002B65A6" w:rsidP="00553212">
            <w:pPr>
              <w:rPr>
                <w:sz w:val="21"/>
                <w:szCs w:val="21"/>
              </w:rPr>
            </w:pPr>
            <w:r>
              <w:rPr>
                <w:sz w:val="21"/>
                <w:szCs w:val="21"/>
              </w:rPr>
              <w:t>§ 44-6205(1)</w:t>
            </w:r>
          </w:p>
        </w:tc>
        <w:tc>
          <w:tcPr>
            <w:tcW w:w="3022" w:type="dxa"/>
          </w:tcPr>
          <w:p w14:paraId="03672D57" w14:textId="77777777" w:rsidR="00553212" w:rsidRDefault="002B65A6" w:rsidP="00553212">
            <w:pPr>
              <w:rPr>
                <w:sz w:val="21"/>
                <w:szCs w:val="21"/>
              </w:rPr>
            </w:pPr>
            <w:r>
              <w:rPr>
                <w:sz w:val="21"/>
                <w:szCs w:val="21"/>
              </w:rPr>
              <w:t>Provide assurance that the transferring insurer will send this notice to each policyholder at last-known address or address for premium notices or other policy documents.</w:t>
            </w:r>
          </w:p>
          <w:p w14:paraId="208C9721" w14:textId="4DB118CF" w:rsidR="002B65A6" w:rsidRPr="00A0019E" w:rsidRDefault="002B65A6" w:rsidP="00553212">
            <w:pPr>
              <w:rPr>
                <w:sz w:val="21"/>
                <w:szCs w:val="21"/>
              </w:rPr>
            </w:pPr>
            <w:r>
              <w:rPr>
                <w:sz w:val="21"/>
                <w:szCs w:val="21"/>
              </w:rPr>
              <w:t>Provide assurance that the transferring insurer’s agents or brokers of record for affected policies will also receive notice.</w:t>
            </w:r>
          </w:p>
        </w:tc>
        <w:tc>
          <w:tcPr>
            <w:tcW w:w="1376" w:type="dxa"/>
          </w:tcPr>
          <w:p w14:paraId="4C8E86C2" w14:textId="77777777" w:rsidR="00553212" w:rsidRPr="00A0019E" w:rsidRDefault="00553212" w:rsidP="00553212">
            <w:pPr>
              <w:rPr>
                <w:sz w:val="21"/>
                <w:szCs w:val="21"/>
              </w:rPr>
            </w:pPr>
          </w:p>
        </w:tc>
      </w:tr>
      <w:tr w:rsidR="00553212" w:rsidRPr="00A0019E" w14:paraId="152A8F13" w14:textId="77777777" w:rsidTr="00005C87">
        <w:trPr>
          <w:trHeight w:val="233"/>
        </w:trPr>
        <w:tc>
          <w:tcPr>
            <w:tcW w:w="1174" w:type="dxa"/>
          </w:tcPr>
          <w:p w14:paraId="517C3708" w14:textId="3FEAA74C" w:rsidR="00553212" w:rsidRPr="00A0019E" w:rsidRDefault="00553212" w:rsidP="00553212">
            <w:pPr>
              <w:rPr>
                <w:sz w:val="21"/>
                <w:szCs w:val="21"/>
              </w:rPr>
            </w:pPr>
            <w:r w:rsidRPr="00A0019E">
              <w:rPr>
                <w:sz w:val="21"/>
                <w:szCs w:val="21"/>
              </w:rPr>
              <w:sym w:font="Wingdings" w:char="F06F"/>
            </w:r>
          </w:p>
        </w:tc>
        <w:tc>
          <w:tcPr>
            <w:tcW w:w="2316" w:type="dxa"/>
          </w:tcPr>
          <w:p w14:paraId="25580A12" w14:textId="573C46A2" w:rsidR="00553212" w:rsidRDefault="002B65A6" w:rsidP="00553212">
            <w:pPr>
              <w:rPr>
                <w:sz w:val="21"/>
                <w:szCs w:val="21"/>
              </w:rPr>
            </w:pPr>
            <w:r>
              <w:rPr>
                <w:sz w:val="21"/>
                <w:szCs w:val="21"/>
              </w:rPr>
              <w:t>Effective date</w:t>
            </w:r>
          </w:p>
        </w:tc>
        <w:tc>
          <w:tcPr>
            <w:tcW w:w="1462" w:type="dxa"/>
          </w:tcPr>
          <w:p w14:paraId="3D87180D" w14:textId="3DB1024C" w:rsidR="00553212" w:rsidRDefault="002B65A6" w:rsidP="00553212">
            <w:pPr>
              <w:rPr>
                <w:sz w:val="21"/>
                <w:szCs w:val="21"/>
              </w:rPr>
            </w:pPr>
            <w:r>
              <w:rPr>
                <w:sz w:val="21"/>
                <w:szCs w:val="21"/>
              </w:rPr>
              <w:t>§ 44-6205(2)</w:t>
            </w:r>
          </w:p>
        </w:tc>
        <w:tc>
          <w:tcPr>
            <w:tcW w:w="3022" w:type="dxa"/>
          </w:tcPr>
          <w:p w14:paraId="02B27774" w14:textId="7A1FD106" w:rsidR="00553212" w:rsidRDefault="002B65A6" w:rsidP="00553212">
            <w:pPr>
              <w:rPr>
                <w:sz w:val="21"/>
                <w:szCs w:val="21"/>
              </w:rPr>
            </w:pPr>
            <w:r>
              <w:rPr>
                <w:sz w:val="21"/>
                <w:szCs w:val="21"/>
              </w:rPr>
              <w:t>Date the transfer and novation of the PH’s contract of insurance is proposed to take place.</w:t>
            </w:r>
          </w:p>
        </w:tc>
        <w:tc>
          <w:tcPr>
            <w:tcW w:w="1376" w:type="dxa"/>
          </w:tcPr>
          <w:p w14:paraId="139D509F" w14:textId="77777777" w:rsidR="00553212" w:rsidRPr="00A0019E" w:rsidRDefault="00553212" w:rsidP="00553212">
            <w:pPr>
              <w:rPr>
                <w:sz w:val="21"/>
                <w:szCs w:val="21"/>
              </w:rPr>
            </w:pPr>
          </w:p>
        </w:tc>
      </w:tr>
      <w:tr w:rsidR="00553212" w:rsidRPr="00A0019E" w14:paraId="77B1A8C1" w14:textId="77777777" w:rsidTr="00005C87">
        <w:trPr>
          <w:trHeight w:val="233"/>
        </w:trPr>
        <w:tc>
          <w:tcPr>
            <w:tcW w:w="1174" w:type="dxa"/>
          </w:tcPr>
          <w:p w14:paraId="0A17FB19" w14:textId="593BDEBC" w:rsidR="00553212" w:rsidRPr="00A0019E" w:rsidRDefault="00553212" w:rsidP="00553212">
            <w:pPr>
              <w:rPr>
                <w:sz w:val="21"/>
                <w:szCs w:val="21"/>
              </w:rPr>
            </w:pPr>
            <w:r w:rsidRPr="00A0019E">
              <w:rPr>
                <w:sz w:val="21"/>
                <w:szCs w:val="21"/>
              </w:rPr>
              <w:sym w:font="Wingdings" w:char="F06F"/>
            </w:r>
          </w:p>
        </w:tc>
        <w:tc>
          <w:tcPr>
            <w:tcW w:w="2316" w:type="dxa"/>
          </w:tcPr>
          <w:p w14:paraId="55089A83" w14:textId="16F4C225" w:rsidR="00553212" w:rsidRDefault="002B65A6" w:rsidP="00553212">
            <w:pPr>
              <w:rPr>
                <w:sz w:val="21"/>
                <w:szCs w:val="21"/>
              </w:rPr>
            </w:pPr>
            <w:r>
              <w:rPr>
                <w:sz w:val="21"/>
                <w:szCs w:val="21"/>
              </w:rPr>
              <w:t>Contact information for insurers</w:t>
            </w:r>
          </w:p>
        </w:tc>
        <w:tc>
          <w:tcPr>
            <w:tcW w:w="1462" w:type="dxa"/>
          </w:tcPr>
          <w:p w14:paraId="461C88C7" w14:textId="11E8A21F" w:rsidR="00553212" w:rsidRDefault="005216CE" w:rsidP="00553212">
            <w:pPr>
              <w:rPr>
                <w:rStyle w:val="Hyperlink"/>
                <w:sz w:val="21"/>
                <w:szCs w:val="21"/>
              </w:rPr>
            </w:pPr>
            <w:r>
              <w:rPr>
                <w:sz w:val="21"/>
                <w:szCs w:val="21"/>
              </w:rPr>
              <w:t>§ 44-6205(2)</w:t>
            </w:r>
          </w:p>
        </w:tc>
        <w:tc>
          <w:tcPr>
            <w:tcW w:w="3022" w:type="dxa"/>
          </w:tcPr>
          <w:p w14:paraId="4FB8176E" w14:textId="40F7AC2F" w:rsidR="00553212" w:rsidRDefault="002B65A6" w:rsidP="00553212">
            <w:pPr>
              <w:rPr>
                <w:sz w:val="21"/>
                <w:szCs w:val="21"/>
              </w:rPr>
            </w:pPr>
            <w:r>
              <w:rPr>
                <w:sz w:val="21"/>
                <w:szCs w:val="21"/>
              </w:rPr>
              <w:t>Names, addresses, and telephone numbers of the assuming insurer and the transferring insurer.</w:t>
            </w:r>
          </w:p>
        </w:tc>
        <w:tc>
          <w:tcPr>
            <w:tcW w:w="1376" w:type="dxa"/>
          </w:tcPr>
          <w:p w14:paraId="6467A855" w14:textId="77777777" w:rsidR="00553212" w:rsidRPr="00A0019E" w:rsidRDefault="00553212" w:rsidP="00553212">
            <w:pPr>
              <w:rPr>
                <w:sz w:val="21"/>
                <w:szCs w:val="21"/>
              </w:rPr>
            </w:pPr>
          </w:p>
        </w:tc>
      </w:tr>
      <w:tr w:rsidR="002B65A6" w:rsidRPr="00A0019E" w14:paraId="00D28708" w14:textId="77777777" w:rsidTr="00005C87">
        <w:trPr>
          <w:trHeight w:val="233"/>
        </w:trPr>
        <w:tc>
          <w:tcPr>
            <w:tcW w:w="1174" w:type="dxa"/>
          </w:tcPr>
          <w:p w14:paraId="58D5C8E1" w14:textId="672EE6E4" w:rsidR="002B65A6" w:rsidRPr="00A0019E" w:rsidRDefault="00B55882" w:rsidP="00553212">
            <w:pPr>
              <w:rPr>
                <w:sz w:val="21"/>
                <w:szCs w:val="21"/>
              </w:rPr>
            </w:pPr>
            <w:r w:rsidRPr="00A0019E">
              <w:rPr>
                <w:sz w:val="21"/>
                <w:szCs w:val="21"/>
              </w:rPr>
              <w:sym w:font="Wingdings" w:char="F06F"/>
            </w:r>
          </w:p>
        </w:tc>
        <w:tc>
          <w:tcPr>
            <w:tcW w:w="2316" w:type="dxa"/>
          </w:tcPr>
          <w:p w14:paraId="1C88366F" w14:textId="600E683F" w:rsidR="002B65A6" w:rsidRDefault="002B65A6" w:rsidP="00553212">
            <w:pPr>
              <w:rPr>
                <w:sz w:val="21"/>
                <w:szCs w:val="21"/>
              </w:rPr>
            </w:pPr>
            <w:r>
              <w:rPr>
                <w:sz w:val="21"/>
                <w:szCs w:val="21"/>
              </w:rPr>
              <w:t>Right to reject</w:t>
            </w:r>
          </w:p>
        </w:tc>
        <w:tc>
          <w:tcPr>
            <w:tcW w:w="1462" w:type="dxa"/>
          </w:tcPr>
          <w:p w14:paraId="309CF9DF" w14:textId="24A02FAB" w:rsidR="002B65A6" w:rsidRDefault="005216CE" w:rsidP="00553212">
            <w:pPr>
              <w:rPr>
                <w:rStyle w:val="Hyperlink"/>
                <w:sz w:val="21"/>
                <w:szCs w:val="21"/>
              </w:rPr>
            </w:pPr>
            <w:r>
              <w:rPr>
                <w:sz w:val="21"/>
                <w:szCs w:val="21"/>
              </w:rPr>
              <w:t>§ 44-6205(2)</w:t>
            </w:r>
          </w:p>
        </w:tc>
        <w:tc>
          <w:tcPr>
            <w:tcW w:w="3022" w:type="dxa"/>
          </w:tcPr>
          <w:p w14:paraId="112AA6AC" w14:textId="4655F087" w:rsidR="002B65A6" w:rsidRDefault="002B65A6" w:rsidP="00553212">
            <w:pPr>
              <w:rPr>
                <w:sz w:val="21"/>
                <w:szCs w:val="21"/>
              </w:rPr>
            </w:pPr>
            <w:r>
              <w:rPr>
                <w:sz w:val="21"/>
                <w:szCs w:val="21"/>
              </w:rPr>
              <w:t>Notice the PH has the right to either accept or reject the transfer and novation.</w:t>
            </w:r>
          </w:p>
        </w:tc>
        <w:tc>
          <w:tcPr>
            <w:tcW w:w="1376" w:type="dxa"/>
          </w:tcPr>
          <w:p w14:paraId="2C48D2FA" w14:textId="77777777" w:rsidR="002B65A6" w:rsidRPr="00A0019E" w:rsidRDefault="002B65A6" w:rsidP="00553212">
            <w:pPr>
              <w:rPr>
                <w:sz w:val="21"/>
                <w:szCs w:val="21"/>
              </w:rPr>
            </w:pPr>
          </w:p>
        </w:tc>
      </w:tr>
      <w:tr w:rsidR="002B65A6" w:rsidRPr="00A0019E" w14:paraId="23F2B35D" w14:textId="77777777" w:rsidTr="00005C87">
        <w:trPr>
          <w:trHeight w:val="233"/>
        </w:trPr>
        <w:tc>
          <w:tcPr>
            <w:tcW w:w="1174" w:type="dxa"/>
          </w:tcPr>
          <w:p w14:paraId="6FBCAC75" w14:textId="0D5C9D03" w:rsidR="002B65A6" w:rsidRPr="00A0019E" w:rsidRDefault="00B55882" w:rsidP="00553212">
            <w:pPr>
              <w:rPr>
                <w:sz w:val="21"/>
                <w:szCs w:val="21"/>
              </w:rPr>
            </w:pPr>
            <w:r w:rsidRPr="00A0019E">
              <w:rPr>
                <w:sz w:val="21"/>
                <w:szCs w:val="21"/>
              </w:rPr>
              <w:lastRenderedPageBreak/>
              <w:sym w:font="Wingdings" w:char="F06F"/>
            </w:r>
          </w:p>
        </w:tc>
        <w:tc>
          <w:tcPr>
            <w:tcW w:w="2316" w:type="dxa"/>
          </w:tcPr>
          <w:p w14:paraId="34310575" w14:textId="03BD1E4F" w:rsidR="002B65A6" w:rsidRDefault="002B65A6" w:rsidP="00553212">
            <w:pPr>
              <w:rPr>
                <w:sz w:val="21"/>
                <w:szCs w:val="21"/>
              </w:rPr>
            </w:pPr>
            <w:r>
              <w:rPr>
                <w:sz w:val="21"/>
                <w:szCs w:val="21"/>
              </w:rPr>
              <w:t>Procedure and time to reject</w:t>
            </w:r>
          </w:p>
        </w:tc>
        <w:tc>
          <w:tcPr>
            <w:tcW w:w="1462" w:type="dxa"/>
          </w:tcPr>
          <w:p w14:paraId="57AB2435" w14:textId="305173A3" w:rsidR="002B65A6" w:rsidRDefault="005216CE" w:rsidP="00553212">
            <w:pPr>
              <w:rPr>
                <w:rStyle w:val="Hyperlink"/>
                <w:sz w:val="21"/>
                <w:szCs w:val="21"/>
              </w:rPr>
            </w:pPr>
            <w:r>
              <w:rPr>
                <w:sz w:val="21"/>
                <w:szCs w:val="21"/>
              </w:rPr>
              <w:t>§ 44-6205(2)</w:t>
            </w:r>
          </w:p>
        </w:tc>
        <w:tc>
          <w:tcPr>
            <w:tcW w:w="3022" w:type="dxa"/>
          </w:tcPr>
          <w:p w14:paraId="5B98E2C3" w14:textId="04B75B69" w:rsidR="002B65A6" w:rsidRDefault="002B65A6" w:rsidP="00553212">
            <w:pPr>
              <w:rPr>
                <w:sz w:val="21"/>
                <w:szCs w:val="21"/>
              </w:rPr>
            </w:pPr>
            <w:r>
              <w:rPr>
                <w:sz w:val="21"/>
                <w:szCs w:val="21"/>
              </w:rPr>
              <w:t>Procedures and time limit for accepting or</w:t>
            </w:r>
            <w:r w:rsidR="00C17C42">
              <w:rPr>
                <w:sz w:val="21"/>
                <w:szCs w:val="21"/>
              </w:rPr>
              <w:t xml:space="preserve"> rejecting the transfer and novation.</w:t>
            </w:r>
          </w:p>
        </w:tc>
        <w:tc>
          <w:tcPr>
            <w:tcW w:w="1376" w:type="dxa"/>
          </w:tcPr>
          <w:p w14:paraId="1340470F" w14:textId="77777777" w:rsidR="002B65A6" w:rsidRPr="00A0019E" w:rsidRDefault="002B65A6" w:rsidP="00553212">
            <w:pPr>
              <w:rPr>
                <w:sz w:val="21"/>
                <w:szCs w:val="21"/>
              </w:rPr>
            </w:pPr>
          </w:p>
        </w:tc>
      </w:tr>
      <w:tr w:rsidR="002B65A6" w:rsidRPr="00A0019E" w14:paraId="608B03DE" w14:textId="77777777" w:rsidTr="00005C87">
        <w:trPr>
          <w:trHeight w:val="233"/>
        </w:trPr>
        <w:tc>
          <w:tcPr>
            <w:tcW w:w="1174" w:type="dxa"/>
          </w:tcPr>
          <w:p w14:paraId="268B4E9D" w14:textId="350029F2" w:rsidR="002B65A6" w:rsidRPr="00A0019E" w:rsidRDefault="00B55882" w:rsidP="00553212">
            <w:pPr>
              <w:rPr>
                <w:sz w:val="21"/>
                <w:szCs w:val="21"/>
              </w:rPr>
            </w:pPr>
            <w:r w:rsidRPr="00A0019E">
              <w:rPr>
                <w:sz w:val="21"/>
                <w:szCs w:val="21"/>
              </w:rPr>
              <w:sym w:font="Wingdings" w:char="F06F"/>
            </w:r>
          </w:p>
        </w:tc>
        <w:tc>
          <w:tcPr>
            <w:tcW w:w="2316" w:type="dxa"/>
          </w:tcPr>
          <w:p w14:paraId="4953A6B0" w14:textId="4BF870EC" w:rsidR="002B65A6" w:rsidRDefault="00C17C42" w:rsidP="00553212">
            <w:pPr>
              <w:rPr>
                <w:sz w:val="21"/>
                <w:szCs w:val="21"/>
              </w:rPr>
            </w:pPr>
            <w:r>
              <w:rPr>
                <w:sz w:val="21"/>
                <w:szCs w:val="21"/>
              </w:rPr>
              <w:t>Explanation of effect</w:t>
            </w:r>
          </w:p>
        </w:tc>
        <w:tc>
          <w:tcPr>
            <w:tcW w:w="1462" w:type="dxa"/>
          </w:tcPr>
          <w:p w14:paraId="292E9CFC" w14:textId="3FCDF6C0" w:rsidR="002B65A6" w:rsidRDefault="005216CE" w:rsidP="00553212">
            <w:pPr>
              <w:rPr>
                <w:rStyle w:val="Hyperlink"/>
                <w:sz w:val="21"/>
                <w:szCs w:val="21"/>
              </w:rPr>
            </w:pPr>
            <w:r>
              <w:rPr>
                <w:sz w:val="21"/>
                <w:szCs w:val="21"/>
              </w:rPr>
              <w:t>§ 44-6205(2)</w:t>
            </w:r>
          </w:p>
        </w:tc>
        <w:tc>
          <w:tcPr>
            <w:tcW w:w="3022" w:type="dxa"/>
          </w:tcPr>
          <w:p w14:paraId="7C492A5D" w14:textId="2EA91C84" w:rsidR="002B65A6" w:rsidRDefault="00C17C42" w:rsidP="00553212">
            <w:pPr>
              <w:rPr>
                <w:sz w:val="21"/>
                <w:szCs w:val="21"/>
              </w:rPr>
            </w:pPr>
            <w:r>
              <w:rPr>
                <w:sz w:val="21"/>
                <w:szCs w:val="21"/>
              </w:rPr>
              <w:t>Summary of any effect that accepting or rejecting the transfer and novation will have on the PH’s rights.</w:t>
            </w:r>
          </w:p>
        </w:tc>
        <w:tc>
          <w:tcPr>
            <w:tcW w:w="1376" w:type="dxa"/>
          </w:tcPr>
          <w:p w14:paraId="1DEB222E" w14:textId="77777777" w:rsidR="002B65A6" w:rsidRPr="00A0019E" w:rsidRDefault="002B65A6" w:rsidP="00553212">
            <w:pPr>
              <w:rPr>
                <w:sz w:val="21"/>
                <w:szCs w:val="21"/>
              </w:rPr>
            </w:pPr>
          </w:p>
        </w:tc>
      </w:tr>
      <w:tr w:rsidR="002B65A6" w:rsidRPr="00A0019E" w14:paraId="4FEACA95" w14:textId="77777777" w:rsidTr="00005C87">
        <w:trPr>
          <w:trHeight w:val="233"/>
        </w:trPr>
        <w:tc>
          <w:tcPr>
            <w:tcW w:w="1174" w:type="dxa"/>
          </w:tcPr>
          <w:p w14:paraId="0BAF4BAF" w14:textId="6256090C" w:rsidR="002B65A6" w:rsidRPr="00A0019E" w:rsidRDefault="00B55882" w:rsidP="00553212">
            <w:pPr>
              <w:rPr>
                <w:sz w:val="21"/>
                <w:szCs w:val="21"/>
              </w:rPr>
            </w:pPr>
            <w:r w:rsidRPr="00A0019E">
              <w:rPr>
                <w:sz w:val="21"/>
                <w:szCs w:val="21"/>
              </w:rPr>
              <w:sym w:font="Wingdings" w:char="F06F"/>
            </w:r>
          </w:p>
        </w:tc>
        <w:tc>
          <w:tcPr>
            <w:tcW w:w="2316" w:type="dxa"/>
          </w:tcPr>
          <w:p w14:paraId="5EF741A1" w14:textId="4F830829" w:rsidR="002B65A6" w:rsidRDefault="00C17C42" w:rsidP="00553212">
            <w:pPr>
              <w:rPr>
                <w:sz w:val="21"/>
                <w:szCs w:val="21"/>
              </w:rPr>
            </w:pPr>
            <w:r>
              <w:rPr>
                <w:sz w:val="21"/>
                <w:szCs w:val="21"/>
              </w:rPr>
              <w:t>Authorized to write</w:t>
            </w:r>
          </w:p>
        </w:tc>
        <w:tc>
          <w:tcPr>
            <w:tcW w:w="1462" w:type="dxa"/>
          </w:tcPr>
          <w:p w14:paraId="4E9D9B26" w14:textId="5B8008FA" w:rsidR="002B65A6" w:rsidRDefault="005216CE" w:rsidP="00553212">
            <w:pPr>
              <w:rPr>
                <w:rStyle w:val="Hyperlink"/>
                <w:sz w:val="21"/>
                <w:szCs w:val="21"/>
              </w:rPr>
            </w:pPr>
            <w:r>
              <w:rPr>
                <w:sz w:val="21"/>
                <w:szCs w:val="21"/>
              </w:rPr>
              <w:t>§ 44-6205(2)</w:t>
            </w:r>
          </w:p>
        </w:tc>
        <w:tc>
          <w:tcPr>
            <w:tcW w:w="3022" w:type="dxa"/>
          </w:tcPr>
          <w:p w14:paraId="0F55DC98" w14:textId="7351204B" w:rsidR="002B65A6" w:rsidRDefault="00C17C42" w:rsidP="00553212">
            <w:pPr>
              <w:rPr>
                <w:sz w:val="21"/>
                <w:szCs w:val="21"/>
              </w:rPr>
            </w:pPr>
            <w:r>
              <w:rPr>
                <w:sz w:val="21"/>
                <w:szCs w:val="21"/>
              </w:rPr>
              <w:t>Statement that assuming insurer is authorized to write the type of business being assumed in the state where PH resides or is otherwise authorized to assume such business.</w:t>
            </w:r>
          </w:p>
        </w:tc>
        <w:tc>
          <w:tcPr>
            <w:tcW w:w="1376" w:type="dxa"/>
          </w:tcPr>
          <w:p w14:paraId="6BFC7A40" w14:textId="77777777" w:rsidR="002B65A6" w:rsidRPr="00A0019E" w:rsidRDefault="002B65A6" w:rsidP="00553212">
            <w:pPr>
              <w:rPr>
                <w:sz w:val="21"/>
                <w:szCs w:val="21"/>
              </w:rPr>
            </w:pPr>
          </w:p>
        </w:tc>
      </w:tr>
      <w:tr w:rsidR="002B65A6" w:rsidRPr="00A0019E" w14:paraId="748049D0" w14:textId="77777777" w:rsidTr="00005C87">
        <w:trPr>
          <w:trHeight w:val="233"/>
        </w:trPr>
        <w:tc>
          <w:tcPr>
            <w:tcW w:w="1174" w:type="dxa"/>
          </w:tcPr>
          <w:p w14:paraId="38962224" w14:textId="19A5ECED" w:rsidR="002B65A6" w:rsidRPr="00A0019E" w:rsidRDefault="00B55882" w:rsidP="00553212">
            <w:pPr>
              <w:rPr>
                <w:sz w:val="21"/>
                <w:szCs w:val="21"/>
              </w:rPr>
            </w:pPr>
            <w:r w:rsidRPr="00A0019E">
              <w:rPr>
                <w:sz w:val="21"/>
                <w:szCs w:val="21"/>
              </w:rPr>
              <w:sym w:font="Wingdings" w:char="F06F"/>
            </w:r>
          </w:p>
        </w:tc>
        <w:tc>
          <w:tcPr>
            <w:tcW w:w="2316" w:type="dxa"/>
          </w:tcPr>
          <w:p w14:paraId="72A892B2" w14:textId="667690D1" w:rsidR="002B65A6" w:rsidRDefault="00C17C42" w:rsidP="00553212">
            <w:pPr>
              <w:rPr>
                <w:sz w:val="21"/>
                <w:szCs w:val="21"/>
              </w:rPr>
            </w:pPr>
            <w:r>
              <w:rPr>
                <w:sz w:val="21"/>
                <w:szCs w:val="21"/>
              </w:rPr>
              <w:t>Contact person</w:t>
            </w:r>
          </w:p>
        </w:tc>
        <w:tc>
          <w:tcPr>
            <w:tcW w:w="1462" w:type="dxa"/>
          </w:tcPr>
          <w:p w14:paraId="4810ABC7" w14:textId="59E547DE" w:rsidR="002B65A6" w:rsidRDefault="005216CE" w:rsidP="00553212">
            <w:pPr>
              <w:rPr>
                <w:rStyle w:val="Hyperlink"/>
                <w:sz w:val="21"/>
                <w:szCs w:val="21"/>
              </w:rPr>
            </w:pPr>
            <w:r>
              <w:rPr>
                <w:sz w:val="21"/>
                <w:szCs w:val="21"/>
              </w:rPr>
              <w:t>§ 44-6205(2)</w:t>
            </w:r>
          </w:p>
        </w:tc>
        <w:tc>
          <w:tcPr>
            <w:tcW w:w="3022" w:type="dxa"/>
          </w:tcPr>
          <w:p w14:paraId="429AC789" w14:textId="7877A234" w:rsidR="002B65A6" w:rsidRDefault="00C17C42" w:rsidP="00553212">
            <w:pPr>
              <w:rPr>
                <w:sz w:val="21"/>
                <w:szCs w:val="21"/>
              </w:rPr>
            </w:pPr>
            <w:r>
              <w:rPr>
                <w:sz w:val="21"/>
                <w:szCs w:val="21"/>
              </w:rPr>
              <w:t>Name and address of the person at the transferring insurer to whom the PH should send its written statement of acceptance or rejection of the transfer and novation.</w:t>
            </w:r>
          </w:p>
        </w:tc>
        <w:tc>
          <w:tcPr>
            <w:tcW w:w="1376" w:type="dxa"/>
          </w:tcPr>
          <w:p w14:paraId="46E5AF3B" w14:textId="77777777" w:rsidR="002B65A6" w:rsidRPr="00A0019E" w:rsidRDefault="002B65A6" w:rsidP="00553212">
            <w:pPr>
              <w:rPr>
                <w:sz w:val="21"/>
                <w:szCs w:val="21"/>
              </w:rPr>
            </w:pPr>
          </w:p>
        </w:tc>
      </w:tr>
      <w:tr w:rsidR="002B65A6" w:rsidRPr="00A0019E" w14:paraId="72ED8504" w14:textId="77777777" w:rsidTr="00005C87">
        <w:trPr>
          <w:trHeight w:val="233"/>
        </w:trPr>
        <w:tc>
          <w:tcPr>
            <w:tcW w:w="1174" w:type="dxa"/>
          </w:tcPr>
          <w:p w14:paraId="1B7C6ECB" w14:textId="0D7EF23A" w:rsidR="002B65A6" w:rsidRPr="00A0019E" w:rsidRDefault="00B55882" w:rsidP="00553212">
            <w:pPr>
              <w:rPr>
                <w:sz w:val="21"/>
                <w:szCs w:val="21"/>
              </w:rPr>
            </w:pPr>
            <w:r w:rsidRPr="00A0019E">
              <w:rPr>
                <w:sz w:val="21"/>
                <w:szCs w:val="21"/>
              </w:rPr>
              <w:sym w:font="Wingdings" w:char="F06F"/>
            </w:r>
          </w:p>
        </w:tc>
        <w:tc>
          <w:tcPr>
            <w:tcW w:w="2316" w:type="dxa"/>
          </w:tcPr>
          <w:p w14:paraId="0FB314C7" w14:textId="35213997" w:rsidR="002B65A6" w:rsidRDefault="00C17C42" w:rsidP="00553212">
            <w:pPr>
              <w:rPr>
                <w:sz w:val="21"/>
                <w:szCs w:val="21"/>
              </w:rPr>
            </w:pPr>
            <w:r>
              <w:rPr>
                <w:sz w:val="21"/>
                <w:szCs w:val="21"/>
              </w:rPr>
              <w:t>DOI contact info</w:t>
            </w:r>
          </w:p>
        </w:tc>
        <w:tc>
          <w:tcPr>
            <w:tcW w:w="1462" w:type="dxa"/>
          </w:tcPr>
          <w:p w14:paraId="6430BE27" w14:textId="4C0302D0" w:rsidR="002B65A6" w:rsidRDefault="005216CE" w:rsidP="00553212">
            <w:pPr>
              <w:rPr>
                <w:rStyle w:val="Hyperlink"/>
                <w:sz w:val="21"/>
                <w:szCs w:val="21"/>
              </w:rPr>
            </w:pPr>
            <w:r>
              <w:rPr>
                <w:sz w:val="21"/>
                <w:szCs w:val="21"/>
              </w:rPr>
              <w:t>§ 44-6205(2)</w:t>
            </w:r>
          </w:p>
        </w:tc>
        <w:tc>
          <w:tcPr>
            <w:tcW w:w="3022" w:type="dxa"/>
          </w:tcPr>
          <w:p w14:paraId="088D5DB5" w14:textId="313F0875" w:rsidR="005216CE" w:rsidRDefault="005216CE" w:rsidP="00553212">
            <w:pPr>
              <w:rPr>
                <w:sz w:val="21"/>
                <w:szCs w:val="21"/>
              </w:rPr>
            </w:pPr>
            <w:r>
              <w:rPr>
                <w:sz w:val="21"/>
                <w:szCs w:val="21"/>
              </w:rPr>
              <w:t>This can be bracketed to match the PH’s residence state.</w:t>
            </w:r>
          </w:p>
          <w:p w14:paraId="66A9581F" w14:textId="60F47833" w:rsidR="002B65A6" w:rsidRDefault="00C17C42" w:rsidP="00553212">
            <w:pPr>
              <w:rPr>
                <w:sz w:val="21"/>
                <w:szCs w:val="21"/>
              </w:rPr>
            </w:pPr>
            <w:r>
              <w:rPr>
                <w:sz w:val="21"/>
                <w:szCs w:val="21"/>
              </w:rPr>
              <w:t>Address and telephone number of the NE DOI</w:t>
            </w:r>
            <w:r w:rsidR="005216CE">
              <w:rPr>
                <w:sz w:val="21"/>
                <w:szCs w:val="21"/>
              </w:rPr>
              <w:t xml:space="preserve"> are:</w:t>
            </w:r>
          </w:p>
          <w:p w14:paraId="2214F200" w14:textId="77777777" w:rsidR="00C17C42" w:rsidRDefault="00C17C42" w:rsidP="00553212">
            <w:pPr>
              <w:rPr>
                <w:sz w:val="21"/>
                <w:szCs w:val="21"/>
              </w:rPr>
            </w:pPr>
            <w:r>
              <w:rPr>
                <w:sz w:val="21"/>
                <w:szCs w:val="21"/>
              </w:rPr>
              <w:t>Nebraska Department of Insurance</w:t>
            </w:r>
          </w:p>
          <w:p w14:paraId="74785898" w14:textId="77777777" w:rsidR="00C17C42" w:rsidRDefault="00C17C42" w:rsidP="00553212">
            <w:pPr>
              <w:rPr>
                <w:sz w:val="21"/>
                <w:szCs w:val="21"/>
              </w:rPr>
            </w:pPr>
            <w:r>
              <w:rPr>
                <w:sz w:val="21"/>
                <w:szCs w:val="21"/>
              </w:rPr>
              <w:t>PO Box 95087</w:t>
            </w:r>
          </w:p>
          <w:p w14:paraId="3ACE8AD6" w14:textId="77777777" w:rsidR="00C17C42" w:rsidRDefault="00C17C42" w:rsidP="00553212">
            <w:pPr>
              <w:rPr>
                <w:sz w:val="21"/>
                <w:szCs w:val="21"/>
              </w:rPr>
            </w:pPr>
            <w:r>
              <w:rPr>
                <w:sz w:val="21"/>
                <w:szCs w:val="21"/>
              </w:rPr>
              <w:t>Lincoln, NE 68509-5087</w:t>
            </w:r>
          </w:p>
          <w:p w14:paraId="3CFBD049" w14:textId="19ADA245" w:rsidR="00C17C42" w:rsidRDefault="00C17C42" w:rsidP="00553212">
            <w:pPr>
              <w:rPr>
                <w:sz w:val="21"/>
                <w:szCs w:val="21"/>
              </w:rPr>
            </w:pPr>
            <w:r>
              <w:rPr>
                <w:sz w:val="21"/>
                <w:szCs w:val="21"/>
              </w:rPr>
              <w:t>402-471-2201</w:t>
            </w:r>
          </w:p>
        </w:tc>
        <w:tc>
          <w:tcPr>
            <w:tcW w:w="1376" w:type="dxa"/>
          </w:tcPr>
          <w:p w14:paraId="23724C80" w14:textId="77777777" w:rsidR="002B65A6" w:rsidRPr="00A0019E" w:rsidRDefault="002B65A6" w:rsidP="00553212">
            <w:pPr>
              <w:rPr>
                <w:sz w:val="21"/>
                <w:szCs w:val="21"/>
              </w:rPr>
            </w:pPr>
          </w:p>
        </w:tc>
      </w:tr>
      <w:tr w:rsidR="002B65A6" w:rsidRPr="00A0019E" w14:paraId="3177524F" w14:textId="77777777" w:rsidTr="00005C87">
        <w:trPr>
          <w:trHeight w:val="233"/>
        </w:trPr>
        <w:tc>
          <w:tcPr>
            <w:tcW w:w="1174" w:type="dxa"/>
          </w:tcPr>
          <w:p w14:paraId="37E0042E" w14:textId="5A1F6267" w:rsidR="002B65A6" w:rsidRPr="00A0019E" w:rsidRDefault="00B55882" w:rsidP="00553212">
            <w:pPr>
              <w:rPr>
                <w:sz w:val="21"/>
                <w:szCs w:val="21"/>
              </w:rPr>
            </w:pPr>
            <w:r w:rsidRPr="00A0019E">
              <w:rPr>
                <w:sz w:val="21"/>
                <w:szCs w:val="21"/>
              </w:rPr>
              <w:sym w:font="Wingdings" w:char="F06F"/>
            </w:r>
          </w:p>
        </w:tc>
        <w:tc>
          <w:tcPr>
            <w:tcW w:w="2316" w:type="dxa"/>
          </w:tcPr>
          <w:p w14:paraId="280D27B0" w14:textId="66116E27" w:rsidR="002B65A6" w:rsidRDefault="00C17C42" w:rsidP="00553212">
            <w:pPr>
              <w:rPr>
                <w:sz w:val="21"/>
                <w:szCs w:val="21"/>
              </w:rPr>
            </w:pPr>
            <w:r>
              <w:rPr>
                <w:sz w:val="21"/>
                <w:szCs w:val="21"/>
              </w:rPr>
              <w:t>Information about both insurers</w:t>
            </w:r>
          </w:p>
        </w:tc>
        <w:tc>
          <w:tcPr>
            <w:tcW w:w="1462" w:type="dxa"/>
          </w:tcPr>
          <w:p w14:paraId="1BB84FA6" w14:textId="2A8FC65F" w:rsidR="002B65A6" w:rsidRDefault="005216CE" w:rsidP="00553212">
            <w:pPr>
              <w:rPr>
                <w:rStyle w:val="Hyperlink"/>
                <w:sz w:val="21"/>
                <w:szCs w:val="21"/>
              </w:rPr>
            </w:pPr>
            <w:r>
              <w:rPr>
                <w:sz w:val="21"/>
                <w:szCs w:val="21"/>
              </w:rPr>
              <w:t>§ 44-6205(2)</w:t>
            </w:r>
          </w:p>
        </w:tc>
        <w:tc>
          <w:tcPr>
            <w:tcW w:w="3022" w:type="dxa"/>
          </w:tcPr>
          <w:p w14:paraId="4D257133" w14:textId="77777777" w:rsidR="002B65A6" w:rsidRDefault="00C17C42" w:rsidP="00553212">
            <w:pPr>
              <w:rPr>
                <w:sz w:val="21"/>
                <w:szCs w:val="21"/>
              </w:rPr>
            </w:pPr>
            <w:r>
              <w:rPr>
                <w:sz w:val="21"/>
                <w:szCs w:val="21"/>
              </w:rPr>
              <w:t>For both insurers:</w:t>
            </w:r>
          </w:p>
          <w:p w14:paraId="729B77BC" w14:textId="77777777" w:rsidR="00C17C42" w:rsidRDefault="00C17C42" w:rsidP="00553212">
            <w:pPr>
              <w:rPr>
                <w:sz w:val="21"/>
                <w:szCs w:val="21"/>
              </w:rPr>
            </w:pPr>
            <w:r>
              <w:rPr>
                <w:sz w:val="21"/>
                <w:szCs w:val="21"/>
              </w:rPr>
              <w:t>Ratings for the last 5 years if available;</w:t>
            </w:r>
          </w:p>
          <w:p w14:paraId="15B24432" w14:textId="77777777" w:rsidR="00C17C42" w:rsidRDefault="00C17C42" w:rsidP="00553212">
            <w:pPr>
              <w:rPr>
                <w:sz w:val="21"/>
                <w:szCs w:val="21"/>
              </w:rPr>
            </w:pPr>
            <w:r>
              <w:rPr>
                <w:sz w:val="21"/>
                <w:szCs w:val="21"/>
              </w:rPr>
              <w:t>Annual statement balance sheet as of 12/31 for the previous 2 years and as of the most recent quarterly statement;</w:t>
            </w:r>
          </w:p>
          <w:p w14:paraId="08D45C70" w14:textId="5C30269A" w:rsidR="00C17C42" w:rsidRDefault="00C17C42" w:rsidP="00553212">
            <w:pPr>
              <w:rPr>
                <w:sz w:val="21"/>
                <w:szCs w:val="21"/>
              </w:rPr>
            </w:pPr>
            <w:r>
              <w:rPr>
                <w:sz w:val="21"/>
                <w:szCs w:val="21"/>
              </w:rPr>
              <w:t>Explanation of the reason for the transfer.</w:t>
            </w:r>
          </w:p>
        </w:tc>
        <w:tc>
          <w:tcPr>
            <w:tcW w:w="1376" w:type="dxa"/>
          </w:tcPr>
          <w:p w14:paraId="55EAF2F4" w14:textId="77777777" w:rsidR="002B65A6" w:rsidRPr="00A0019E" w:rsidRDefault="002B65A6" w:rsidP="00553212">
            <w:pPr>
              <w:rPr>
                <w:sz w:val="21"/>
                <w:szCs w:val="21"/>
              </w:rPr>
            </w:pPr>
          </w:p>
        </w:tc>
      </w:tr>
      <w:tr w:rsidR="002B65A6" w:rsidRPr="00A0019E" w14:paraId="49705422" w14:textId="77777777" w:rsidTr="00005C87">
        <w:trPr>
          <w:trHeight w:val="233"/>
        </w:trPr>
        <w:tc>
          <w:tcPr>
            <w:tcW w:w="1174" w:type="dxa"/>
          </w:tcPr>
          <w:p w14:paraId="6BAB73C7" w14:textId="010EE044" w:rsidR="002B65A6" w:rsidRPr="00A0019E" w:rsidRDefault="00B55882" w:rsidP="00553212">
            <w:pPr>
              <w:rPr>
                <w:sz w:val="21"/>
                <w:szCs w:val="21"/>
              </w:rPr>
            </w:pPr>
            <w:r w:rsidRPr="00A0019E">
              <w:rPr>
                <w:sz w:val="21"/>
                <w:szCs w:val="21"/>
              </w:rPr>
              <w:sym w:font="Wingdings" w:char="F06F"/>
            </w:r>
          </w:p>
        </w:tc>
        <w:tc>
          <w:tcPr>
            <w:tcW w:w="2316" w:type="dxa"/>
          </w:tcPr>
          <w:p w14:paraId="2B8579BA" w14:textId="2B31319B" w:rsidR="002B65A6" w:rsidRDefault="00C17C42" w:rsidP="00553212">
            <w:pPr>
              <w:rPr>
                <w:sz w:val="21"/>
                <w:szCs w:val="21"/>
              </w:rPr>
            </w:pPr>
            <w:r>
              <w:rPr>
                <w:sz w:val="21"/>
                <w:szCs w:val="21"/>
              </w:rPr>
              <w:t>Response card for return of acceptance or rejection</w:t>
            </w:r>
          </w:p>
        </w:tc>
        <w:tc>
          <w:tcPr>
            <w:tcW w:w="1462" w:type="dxa"/>
          </w:tcPr>
          <w:p w14:paraId="3A9BA5B8" w14:textId="68B9F80F" w:rsidR="002B65A6" w:rsidRDefault="005216CE" w:rsidP="00553212">
            <w:pPr>
              <w:rPr>
                <w:rStyle w:val="Hyperlink"/>
                <w:sz w:val="21"/>
                <w:szCs w:val="21"/>
              </w:rPr>
            </w:pPr>
            <w:r>
              <w:rPr>
                <w:sz w:val="21"/>
                <w:szCs w:val="21"/>
              </w:rPr>
              <w:t>§ 44-6205(2)</w:t>
            </w:r>
          </w:p>
        </w:tc>
        <w:tc>
          <w:tcPr>
            <w:tcW w:w="3022" w:type="dxa"/>
          </w:tcPr>
          <w:p w14:paraId="25FF5D3A" w14:textId="77777777" w:rsidR="002B65A6" w:rsidRDefault="00C17C42" w:rsidP="00553212">
            <w:pPr>
              <w:rPr>
                <w:sz w:val="21"/>
                <w:szCs w:val="21"/>
              </w:rPr>
            </w:pPr>
            <w:r>
              <w:rPr>
                <w:sz w:val="21"/>
                <w:szCs w:val="21"/>
              </w:rPr>
              <w:t>Every notice letter must include a preaddressed, postage-paid response card which a PH may return as its written statement of acceptance or rejection of the transfer and novation.</w:t>
            </w:r>
          </w:p>
          <w:p w14:paraId="003152D3" w14:textId="3782473A" w:rsidR="00C17C42" w:rsidRDefault="00C17C42" w:rsidP="00553212">
            <w:pPr>
              <w:rPr>
                <w:sz w:val="21"/>
                <w:szCs w:val="21"/>
              </w:rPr>
            </w:pPr>
            <w:r>
              <w:rPr>
                <w:sz w:val="21"/>
                <w:szCs w:val="21"/>
              </w:rPr>
              <w:t>Provide a template response card as proof this requirement will be met.</w:t>
            </w:r>
          </w:p>
        </w:tc>
        <w:tc>
          <w:tcPr>
            <w:tcW w:w="1376" w:type="dxa"/>
          </w:tcPr>
          <w:p w14:paraId="7F4306FF" w14:textId="77777777" w:rsidR="002B65A6" w:rsidRPr="00A0019E" w:rsidRDefault="002B65A6" w:rsidP="00553212">
            <w:pPr>
              <w:rPr>
                <w:sz w:val="21"/>
                <w:szCs w:val="21"/>
              </w:rPr>
            </w:pPr>
          </w:p>
        </w:tc>
      </w:tr>
      <w:tr w:rsidR="00553212" w:rsidRPr="00A0019E" w14:paraId="175C88FE" w14:textId="77777777" w:rsidTr="00C80848">
        <w:tc>
          <w:tcPr>
            <w:tcW w:w="1174" w:type="dxa"/>
            <w:shd w:val="clear" w:color="auto" w:fill="E7E6E6" w:themeFill="background2"/>
          </w:tcPr>
          <w:p w14:paraId="13FC331F" w14:textId="77777777" w:rsidR="00553212" w:rsidRPr="00A0019E" w:rsidRDefault="00553212" w:rsidP="00553212">
            <w:pPr>
              <w:rPr>
                <w:b/>
                <w:sz w:val="21"/>
                <w:szCs w:val="21"/>
              </w:rPr>
            </w:pPr>
          </w:p>
        </w:tc>
        <w:tc>
          <w:tcPr>
            <w:tcW w:w="8176" w:type="dxa"/>
            <w:gridSpan w:val="4"/>
            <w:shd w:val="clear" w:color="auto" w:fill="E7E6E6" w:themeFill="background2"/>
          </w:tcPr>
          <w:p w14:paraId="18628A33" w14:textId="1A42E948" w:rsidR="00553212" w:rsidRPr="00A0019E" w:rsidRDefault="00553212" w:rsidP="00553212">
            <w:pPr>
              <w:rPr>
                <w:b/>
                <w:sz w:val="21"/>
                <w:szCs w:val="21"/>
              </w:rPr>
            </w:pPr>
            <w:r w:rsidRPr="00A0019E">
              <w:rPr>
                <w:b/>
                <w:sz w:val="21"/>
                <w:szCs w:val="21"/>
              </w:rPr>
              <w:t>EXPLANATION FOR ANY ITEMS MARKED NOT APPLICABLE</w:t>
            </w:r>
          </w:p>
        </w:tc>
      </w:tr>
      <w:tr w:rsidR="00553212" w:rsidRPr="00A0019E" w14:paraId="6C5EEF1F" w14:textId="77777777" w:rsidTr="00C80848">
        <w:tc>
          <w:tcPr>
            <w:tcW w:w="1174" w:type="dxa"/>
          </w:tcPr>
          <w:p w14:paraId="71BE5803" w14:textId="3D0DD471" w:rsidR="00553212" w:rsidRPr="00A0019E" w:rsidRDefault="00553212" w:rsidP="00553212">
            <w:pPr>
              <w:rPr>
                <w:sz w:val="21"/>
                <w:szCs w:val="21"/>
              </w:rPr>
            </w:pPr>
            <w:r w:rsidRPr="00A0019E">
              <w:rPr>
                <w:sz w:val="21"/>
                <w:szCs w:val="21"/>
              </w:rPr>
              <w:sym w:font="Wingdings" w:char="F06F"/>
            </w:r>
          </w:p>
        </w:tc>
        <w:tc>
          <w:tcPr>
            <w:tcW w:w="8176" w:type="dxa"/>
            <w:gridSpan w:val="4"/>
          </w:tcPr>
          <w:p w14:paraId="3A046814" w14:textId="4D41D612" w:rsidR="00553212" w:rsidRPr="00A0019E" w:rsidRDefault="00553212" w:rsidP="00553212">
            <w:pPr>
              <w:rPr>
                <w:sz w:val="21"/>
                <w:szCs w:val="21"/>
              </w:rPr>
            </w:pPr>
            <w:r w:rsidRPr="00A0019E">
              <w:rPr>
                <w:sz w:val="21"/>
                <w:szCs w:val="21"/>
              </w:rPr>
              <w:t>Please use this space provide an explanation for any checklist requirement marked “N/A” to avoid receiving an objection in SERFF.</w:t>
            </w:r>
          </w:p>
          <w:p w14:paraId="662E2C12" w14:textId="77777777" w:rsidR="00553212" w:rsidRPr="00A0019E" w:rsidRDefault="00553212" w:rsidP="00553212">
            <w:pPr>
              <w:rPr>
                <w:sz w:val="21"/>
                <w:szCs w:val="21"/>
              </w:rPr>
            </w:pPr>
          </w:p>
          <w:p w14:paraId="45C9DE38" w14:textId="41E27F3A" w:rsidR="00553212" w:rsidRPr="00A0019E" w:rsidRDefault="00553212" w:rsidP="00553212">
            <w:pPr>
              <w:rPr>
                <w:sz w:val="21"/>
                <w:szCs w:val="21"/>
              </w:rPr>
            </w:pPr>
          </w:p>
        </w:tc>
      </w:tr>
    </w:tbl>
    <w:p w14:paraId="5ADB41F4" w14:textId="77777777" w:rsidR="009B423E" w:rsidRPr="00A0019E" w:rsidRDefault="009B423E" w:rsidP="001270E9">
      <w:pPr>
        <w:spacing w:after="0"/>
        <w:rPr>
          <w:rFonts w:ascii="Calibri" w:hAnsi="Calibri" w:cs="Calibri"/>
          <w:b/>
          <w:sz w:val="21"/>
          <w:szCs w:val="21"/>
          <w:u w:val="single"/>
        </w:rPr>
      </w:pPr>
    </w:p>
    <w:p w14:paraId="20962F42" w14:textId="5B62D0CB" w:rsidR="00C80848" w:rsidRDefault="00C80848">
      <w:pPr>
        <w:rPr>
          <w:rFonts w:ascii="Calibri" w:hAnsi="Calibri" w:cs="Calibri"/>
          <w:b/>
          <w:sz w:val="21"/>
          <w:szCs w:val="21"/>
          <w:u w:val="single"/>
        </w:rPr>
      </w:pPr>
    </w:p>
    <w:p w14:paraId="7B5187AF" w14:textId="51D62D56" w:rsidR="00680237" w:rsidRPr="00A0019E" w:rsidRDefault="00680237" w:rsidP="001270E9">
      <w:pPr>
        <w:spacing w:after="0"/>
        <w:rPr>
          <w:rFonts w:ascii="Calibri" w:hAnsi="Calibri" w:cs="Calibri"/>
          <w:b/>
          <w:sz w:val="21"/>
          <w:szCs w:val="21"/>
          <w:u w:val="single"/>
        </w:rPr>
      </w:pPr>
      <w:r w:rsidRPr="00A0019E">
        <w:rPr>
          <w:rFonts w:ascii="Calibri" w:hAnsi="Calibri" w:cs="Calibri"/>
          <w:b/>
          <w:sz w:val="21"/>
          <w:szCs w:val="21"/>
          <w:u w:val="single"/>
        </w:rPr>
        <w:t>CERTIFICATION OF COMPLIANCE</w:t>
      </w:r>
    </w:p>
    <w:p w14:paraId="08B94A98" w14:textId="25B462C9" w:rsidR="00680237" w:rsidRDefault="00680237" w:rsidP="00680237">
      <w:pPr>
        <w:spacing w:after="0"/>
        <w:rPr>
          <w:sz w:val="21"/>
          <w:szCs w:val="21"/>
        </w:rPr>
      </w:pPr>
      <w:r w:rsidRPr="00A0019E">
        <w:rPr>
          <w:sz w:val="21"/>
          <w:szCs w:val="21"/>
        </w:rPr>
        <w:t xml:space="preserve">I, the </w:t>
      </w:r>
      <w:r w:rsidR="00EE2353" w:rsidRPr="00A0019E">
        <w:rPr>
          <w:sz w:val="21"/>
          <w:szCs w:val="21"/>
        </w:rPr>
        <w:t>undersigned authorized f</w:t>
      </w:r>
      <w:r w:rsidRPr="00A0019E">
        <w:rPr>
          <w:sz w:val="21"/>
          <w:szCs w:val="21"/>
        </w:rPr>
        <w:t>iler, hereby certify that this filing complies with applicable Nebraska statutes, regulations, Bulletins and guidelines, to the best of my knowledge. This filing contains no unusual or controversial content according to insurance industry norms.  The forms included in this filing contain no unfair, unjust, inequitable, misleading or deceptive provisions or language. I am authorized to sign on behalf of the Company identified below.</w:t>
      </w:r>
    </w:p>
    <w:p w14:paraId="143E830D" w14:textId="77777777" w:rsidR="00C80848" w:rsidRPr="00A0019E" w:rsidRDefault="00C80848" w:rsidP="00680237">
      <w:pPr>
        <w:spacing w:after="0"/>
        <w:rPr>
          <w:sz w:val="21"/>
          <w:szCs w:val="21"/>
        </w:rPr>
      </w:pPr>
    </w:p>
    <w:p w14:paraId="4A9F39B2" w14:textId="77777777" w:rsidR="005F7BF1" w:rsidRPr="00A0019E" w:rsidRDefault="005F7BF1" w:rsidP="00680237">
      <w:pPr>
        <w:spacing w:after="0"/>
        <w:rPr>
          <w:sz w:val="21"/>
          <w:szCs w:val="21"/>
        </w:rPr>
      </w:pPr>
    </w:p>
    <w:p w14:paraId="53E9FF2A" w14:textId="7B4DADEB"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p>
    <w:p w14:paraId="52EEC82C" w14:textId="1A481A90" w:rsidR="00680237" w:rsidRPr="00A0019E" w:rsidRDefault="00680237" w:rsidP="002A252D">
      <w:pPr>
        <w:spacing w:after="0" w:line="240" w:lineRule="auto"/>
        <w:rPr>
          <w:sz w:val="21"/>
          <w:szCs w:val="21"/>
        </w:rPr>
      </w:pPr>
      <w:r w:rsidRPr="00A0019E">
        <w:rPr>
          <w:sz w:val="21"/>
          <w:szCs w:val="21"/>
        </w:rPr>
        <w:t>Name of Company</w:t>
      </w:r>
      <w:r w:rsidRPr="00A0019E">
        <w:rPr>
          <w:sz w:val="21"/>
          <w:szCs w:val="21"/>
        </w:rPr>
        <w:tab/>
      </w:r>
      <w:r w:rsidRPr="00A0019E">
        <w:rPr>
          <w:sz w:val="21"/>
          <w:szCs w:val="21"/>
        </w:rPr>
        <w:tab/>
      </w:r>
      <w:r w:rsidRPr="00A0019E">
        <w:rPr>
          <w:sz w:val="21"/>
          <w:szCs w:val="21"/>
        </w:rPr>
        <w:tab/>
      </w:r>
      <w:r w:rsidRPr="00A0019E">
        <w:rPr>
          <w:sz w:val="21"/>
          <w:szCs w:val="21"/>
        </w:rPr>
        <w:tab/>
      </w:r>
    </w:p>
    <w:p w14:paraId="2D8218A0" w14:textId="77777777" w:rsidR="00680237" w:rsidRPr="00A0019E" w:rsidRDefault="00680237" w:rsidP="002A252D">
      <w:pPr>
        <w:spacing w:after="0" w:line="240" w:lineRule="auto"/>
        <w:rPr>
          <w:sz w:val="21"/>
          <w:szCs w:val="21"/>
        </w:rPr>
      </w:pPr>
    </w:p>
    <w:p w14:paraId="737FAD34" w14:textId="77777777" w:rsidR="005F7BF1" w:rsidRPr="00A0019E" w:rsidRDefault="005F7BF1" w:rsidP="002A252D">
      <w:pPr>
        <w:spacing w:after="0" w:line="240" w:lineRule="auto"/>
        <w:rPr>
          <w:sz w:val="21"/>
          <w:szCs w:val="21"/>
        </w:rPr>
      </w:pPr>
    </w:p>
    <w:p w14:paraId="72F78764" w14:textId="726FE534"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r w:rsidR="00C80848">
        <w:rPr>
          <w:sz w:val="21"/>
          <w:szCs w:val="21"/>
        </w:rPr>
        <w:tab/>
      </w:r>
      <w:r w:rsidRPr="00A0019E">
        <w:rPr>
          <w:sz w:val="21"/>
          <w:szCs w:val="21"/>
        </w:rPr>
        <w:t>__________________________________</w:t>
      </w:r>
    </w:p>
    <w:p w14:paraId="1D11FC4B" w14:textId="2204CA5E" w:rsidR="00680237" w:rsidRPr="00A0019E" w:rsidRDefault="00C80848" w:rsidP="002A252D">
      <w:pPr>
        <w:spacing w:after="0" w:line="240" w:lineRule="auto"/>
        <w:rPr>
          <w:sz w:val="21"/>
          <w:szCs w:val="21"/>
        </w:rPr>
      </w:pPr>
      <w:r>
        <w:rPr>
          <w:sz w:val="21"/>
          <w:szCs w:val="21"/>
        </w:rPr>
        <w:t>Typed Name of Authorized Filer (Electronic S</w:t>
      </w:r>
      <w:r w:rsidR="001C09C5" w:rsidRPr="00A0019E">
        <w:rPr>
          <w:sz w:val="21"/>
          <w:szCs w:val="21"/>
        </w:rPr>
        <w:t>ignature</w:t>
      </w:r>
      <w:r>
        <w:rPr>
          <w:sz w:val="21"/>
          <w:szCs w:val="21"/>
        </w:rPr>
        <w:t>)</w:t>
      </w:r>
      <w:r w:rsidR="00680237" w:rsidRPr="00A0019E">
        <w:rPr>
          <w:sz w:val="21"/>
          <w:szCs w:val="21"/>
        </w:rPr>
        <w:tab/>
        <w:t>Date</w:t>
      </w:r>
    </w:p>
    <w:p w14:paraId="5608918D" w14:textId="77777777" w:rsidR="00680237" w:rsidRPr="00A0019E" w:rsidRDefault="00680237" w:rsidP="002A252D">
      <w:pPr>
        <w:spacing w:after="0" w:line="240" w:lineRule="auto"/>
        <w:rPr>
          <w:sz w:val="21"/>
          <w:szCs w:val="21"/>
        </w:rPr>
      </w:pPr>
    </w:p>
    <w:p w14:paraId="59DA0D5D" w14:textId="77777777" w:rsidR="005F7BF1" w:rsidRPr="00A0019E" w:rsidRDefault="005F7BF1" w:rsidP="002A252D">
      <w:pPr>
        <w:spacing w:after="0" w:line="240" w:lineRule="auto"/>
        <w:rPr>
          <w:sz w:val="21"/>
          <w:szCs w:val="21"/>
        </w:rPr>
      </w:pPr>
    </w:p>
    <w:sectPr w:rsidR="005F7BF1" w:rsidRPr="00A0019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AD3A5" w14:textId="77777777" w:rsidR="00852E57" w:rsidRDefault="00852E57" w:rsidP="00B669E2">
      <w:pPr>
        <w:spacing w:after="0" w:line="240" w:lineRule="auto"/>
      </w:pPr>
      <w:r>
        <w:separator/>
      </w:r>
    </w:p>
  </w:endnote>
  <w:endnote w:type="continuationSeparator" w:id="0">
    <w:p w14:paraId="13C8F861" w14:textId="77777777" w:rsidR="00852E57" w:rsidRDefault="00852E57" w:rsidP="00B6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2A5B" w14:textId="77777777" w:rsidR="00553212" w:rsidRDefault="00553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74332"/>
      <w:docPartObj>
        <w:docPartGallery w:val="Page Numbers (Bottom of Page)"/>
        <w:docPartUnique/>
      </w:docPartObj>
    </w:sdtPr>
    <w:sdtEndPr>
      <w:rPr>
        <w:noProof/>
      </w:rPr>
    </w:sdtEndPr>
    <w:sdtContent>
      <w:p w14:paraId="0086944D" w14:textId="6C95374D" w:rsidR="00852E57" w:rsidRDefault="00852E57">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557825C5" w14:textId="77777777" w:rsidR="001A3C5F" w:rsidRDefault="001A3C5F">
    <w:pPr>
      <w:pStyle w:val="Footer"/>
    </w:pPr>
    <w:fldSimple w:instr=" FILENAME  \p  \* MERGEFORMAT ">
      <w:r>
        <w:rPr>
          <w:noProof/>
        </w:rPr>
        <w:t>S:\LIFNHLTH\BRAND NEW TEMPLATES\ASSUMPTION REINSURANCE CHECKLIST.docx</w:t>
      </w:r>
    </w:fldSimple>
  </w:p>
  <w:p w14:paraId="00B42C77" w14:textId="131BF825" w:rsidR="00852E57" w:rsidRDefault="00852E57">
    <w:pPr>
      <w:pStyle w:val="Footer"/>
    </w:pPr>
    <w:r>
      <w:t xml:space="preserve">Last Updated </w:t>
    </w:r>
    <w:r w:rsidR="001A3C5F">
      <w:t>4/15/22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FE4C" w14:textId="77777777" w:rsidR="00553212" w:rsidRDefault="00553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E1B3" w14:textId="77777777" w:rsidR="00852E57" w:rsidRDefault="00852E57" w:rsidP="00B669E2">
      <w:pPr>
        <w:spacing w:after="0" w:line="240" w:lineRule="auto"/>
      </w:pPr>
      <w:r>
        <w:separator/>
      </w:r>
    </w:p>
  </w:footnote>
  <w:footnote w:type="continuationSeparator" w:id="0">
    <w:p w14:paraId="7A7BD5B3" w14:textId="77777777" w:rsidR="00852E57" w:rsidRDefault="00852E57" w:rsidP="00B6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34BD" w14:textId="77777777" w:rsidR="00553212" w:rsidRDefault="00553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CB43" w14:textId="000D3A52" w:rsidR="00852E57" w:rsidRDefault="00553212" w:rsidP="006A03BD">
    <w:pPr>
      <w:spacing w:after="0"/>
      <w:jc w:val="center"/>
      <w:rPr>
        <w:b/>
      </w:rPr>
    </w:pPr>
    <w:r>
      <w:rPr>
        <w:b/>
      </w:rPr>
      <w:t>ASSUMPTION REINSURANCE</w:t>
    </w:r>
    <w:r w:rsidR="00852E57" w:rsidRPr="0079382C">
      <w:rPr>
        <w:b/>
      </w:rPr>
      <w:t xml:space="preserve"> </w:t>
    </w:r>
    <w:r w:rsidR="00852E57">
      <w:rPr>
        <w:b/>
      </w:rPr>
      <w:t>CHECKLIST</w:t>
    </w:r>
  </w:p>
  <w:p w14:paraId="0497C06C" w14:textId="24D4C8AA" w:rsidR="00852E57" w:rsidRDefault="00852E57">
    <w:pPr>
      <w:pStyle w:val="Header"/>
    </w:pPr>
  </w:p>
  <w:p w14:paraId="3152A972" w14:textId="77777777" w:rsidR="00852E57" w:rsidRDefault="00852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A739" w14:textId="77777777" w:rsidR="00553212" w:rsidRDefault="00553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E234C"/>
    <w:multiLevelType w:val="hybridMultilevel"/>
    <w:tmpl w:val="BC0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2428A"/>
    <w:multiLevelType w:val="hybridMultilevel"/>
    <w:tmpl w:val="E7D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90424"/>
    <w:multiLevelType w:val="hybridMultilevel"/>
    <w:tmpl w:val="EEFA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33A85"/>
    <w:multiLevelType w:val="hybridMultilevel"/>
    <w:tmpl w:val="74F0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724B7"/>
    <w:multiLevelType w:val="hybridMultilevel"/>
    <w:tmpl w:val="95E4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A0253"/>
    <w:multiLevelType w:val="hybridMultilevel"/>
    <w:tmpl w:val="12E6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3F"/>
    <w:rsid w:val="00000BD9"/>
    <w:rsid w:val="00001E2B"/>
    <w:rsid w:val="00003E47"/>
    <w:rsid w:val="00004778"/>
    <w:rsid w:val="00005C87"/>
    <w:rsid w:val="000120F3"/>
    <w:rsid w:val="00012299"/>
    <w:rsid w:val="000132B0"/>
    <w:rsid w:val="00014A46"/>
    <w:rsid w:val="000162CB"/>
    <w:rsid w:val="00016B46"/>
    <w:rsid w:val="000245F0"/>
    <w:rsid w:val="0002537C"/>
    <w:rsid w:val="000261E8"/>
    <w:rsid w:val="000270E2"/>
    <w:rsid w:val="00030783"/>
    <w:rsid w:val="0003086C"/>
    <w:rsid w:val="00031AC9"/>
    <w:rsid w:val="00036068"/>
    <w:rsid w:val="000459CC"/>
    <w:rsid w:val="0004648E"/>
    <w:rsid w:val="00051AA9"/>
    <w:rsid w:val="00051B63"/>
    <w:rsid w:val="00051BE1"/>
    <w:rsid w:val="000544B4"/>
    <w:rsid w:val="000575C0"/>
    <w:rsid w:val="0006557E"/>
    <w:rsid w:val="00070097"/>
    <w:rsid w:val="00070A99"/>
    <w:rsid w:val="0008026E"/>
    <w:rsid w:val="000927A3"/>
    <w:rsid w:val="00094A7E"/>
    <w:rsid w:val="000A1A62"/>
    <w:rsid w:val="000A4A79"/>
    <w:rsid w:val="000A5C0F"/>
    <w:rsid w:val="000A77AB"/>
    <w:rsid w:val="000B0055"/>
    <w:rsid w:val="000B04E1"/>
    <w:rsid w:val="000B0D03"/>
    <w:rsid w:val="000B2816"/>
    <w:rsid w:val="000B4340"/>
    <w:rsid w:val="000C2F0E"/>
    <w:rsid w:val="000C31C2"/>
    <w:rsid w:val="000C3E33"/>
    <w:rsid w:val="000C3FC3"/>
    <w:rsid w:val="000C76A0"/>
    <w:rsid w:val="000D085E"/>
    <w:rsid w:val="000D2163"/>
    <w:rsid w:val="000E2395"/>
    <w:rsid w:val="000E3018"/>
    <w:rsid w:val="000E5645"/>
    <w:rsid w:val="000E6BDE"/>
    <w:rsid w:val="000F0989"/>
    <w:rsid w:val="000F1822"/>
    <w:rsid w:val="000F29D5"/>
    <w:rsid w:val="00106C35"/>
    <w:rsid w:val="00110121"/>
    <w:rsid w:val="00122715"/>
    <w:rsid w:val="001242A3"/>
    <w:rsid w:val="001257DD"/>
    <w:rsid w:val="001259B6"/>
    <w:rsid w:val="001270E9"/>
    <w:rsid w:val="0013479D"/>
    <w:rsid w:val="001371E2"/>
    <w:rsid w:val="001379F9"/>
    <w:rsid w:val="00137D53"/>
    <w:rsid w:val="00140F44"/>
    <w:rsid w:val="001420FD"/>
    <w:rsid w:val="00142D69"/>
    <w:rsid w:val="00145141"/>
    <w:rsid w:val="00151F62"/>
    <w:rsid w:val="00154FD5"/>
    <w:rsid w:val="00157603"/>
    <w:rsid w:val="00157DBD"/>
    <w:rsid w:val="0016068C"/>
    <w:rsid w:val="00160C55"/>
    <w:rsid w:val="00165FEC"/>
    <w:rsid w:val="00166728"/>
    <w:rsid w:val="001702E4"/>
    <w:rsid w:val="00177294"/>
    <w:rsid w:val="00181711"/>
    <w:rsid w:val="00185688"/>
    <w:rsid w:val="00187DFA"/>
    <w:rsid w:val="001903C9"/>
    <w:rsid w:val="00190E4A"/>
    <w:rsid w:val="0019245B"/>
    <w:rsid w:val="001A0E47"/>
    <w:rsid w:val="001A3C5F"/>
    <w:rsid w:val="001A685D"/>
    <w:rsid w:val="001C09C5"/>
    <w:rsid w:val="001D3F37"/>
    <w:rsid w:val="001D418E"/>
    <w:rsid w:val="001D44FD"/>
    <w:rsid w:val="001D67E8"/>
    <w:rsid w:val="001E012C"/>
    <w:rsid w:val="001E4428"/>
    <w:rsid w:val="00203CF3"/>
    <w:rsid w:val="002056DD"/>
    <w:rsid w:val="00222946"/>
    <w:rsid w:val="00225605"/>
    <w:rsid w:val="002272A9"/>
    <w:rsid w:val="002341F2"/>
    <w:rsid w:val="002361FD"/>
    <w:rsid w:val="00243B70"/>
    <w:rsid w:val="00253478"/>
    <w:rsid w:val="002534AD"/>
    <w:rsid w:val="00256CB5"/>
    <w:rsid w:val="00257768"/>
    <w:rsid w:val="00257A70"/>
    <w:rsid w:val="00267D4A"/>
    <w:rsid w:val="002714C4"/>
    <w:rsid w:val="002736F1"/>
    <w:rsid w:val="00273E97"/>
    <w:rsid w:val="0028125B"/>
    <w:rsid w:val="00281A7B"/>
    <w:rsid w:val="0028316D"/>
    <w:rsid w:val="00287777"/>
    <w:rsid w:val="00287B02"/>
    <w:rsid w:val="002936C1"/>
    <w:rsid w:val="00294778"/>
    <w:rsid w:val="00295A59"/>
    <w:rsid w:val="00296BA4"/>
    <w:rsid w:val="002A252D"/>
    <w:rsid w:val="002B19AE"/>
    <w:rsid w:val="002B2D74"/>
    <w:rsid w:val="002B65A6"/>
    <w:rsid w:val="002B6D80"/>
    <w:rsid w:val="002C72C4"/>
    <w:rsid w:val="002C7E89"/>
    <w:rsid w:val="002C7EAE"/>
    <w:rsid w:val="002D044A"/>
    <w:rsid w:val="002D18DD"/>
    <w:rsid w:val="002D3561"/>
    <w:rsid w:val="002E6950"/>
    <w:rsid w:val="002E6DB2"/>
    <w:rsid w:val="002F2ACB"/>
    <w:rsid w:val="002F3D72"/>
    <w:rsid w:val="002F53EF"/>
    <w:rsid w:val="00302C5F"/>
    <w:rsid w:val="003041CA"/>
    <w:rsid w:val="003043F2"/>
    <w:rsid w:val="00305802"/>
    <w:rsid w:val="003076B7"/>
    <w:rsid w:val="00307A2C"/>
    <w:rsid w:val="00310458"/>
    <w:rsid w:val="003157F5"/>
    <w:rsid w:val="00315CBE"/>
    <w:rsid w:val="003214E0"/>
    <w:rsid w:val="00322F98"/>
    <w:rsid w:val="003427E5"/>
    <w:rsid w:val="00343FA3"/>
    <w:rsid w:val="00351564"/>
    <w:rsid w:val="00351597"/>
    <w:rsid w:val="00352F72"/>
    <w:rsid w:val="0036220C"/>
    <w:rsid w:val="0037026B"/>
    <w:rsid w:val="0037091C"/>
    <w:rsid w:val="00370BB2"/>
    <w:rsid w:val="00371EBE"/>
    <w:rsid w:val="00374257"/>
    <w:rsid w:val="00380201"/>
    <w:rsid w:val="0039113D"/>
    <w:rsid w:val="00392EBD"/>
    <w:rsid w:val="00393390"/>
    <w:rsid w:val="00397522"/>
    <w:rsid w:val="003A1466"/>
    <w:rsid w:val="003A3818"/>
    <w:rsid w:val="003B4067"/>
    <w:rsid w:val="003B54E2"/>
    <w:rsid w:val="003B603D"/>
    <w:rsid w:val="003B69A0"/>
    <w:rsid w:val="003C161D"/>
    <w:rsid w:val="003C3FF2"/>
    <w:rsid w:val="003C6597"/>
    <w:rsid w:val="003C6783"/>
    <w:rsid w:val="003D51D1"/>
    <w:rsid w:val="003D639E"/>
    <w:rsid w:val="003E5ADF"/>
    <w:rsid w:val="003E6DF8"/>
    <w:rsid w:val="003F41A2"/>
    <w:rsid w:val="003F4A20"/>
    <w:rsid w:val="00405353"/>
    <w:rsid w:val="00412636"/>
    <w:rsid w:val="004136CF"/>
    <w:rsid w:val="00417F3D"/>
    <w:rsid w:val="00424670"/>
    <w:rsid w:val="0042568C"/>
    <w:rsid w:val="00426893"/>
    <w:rsid w:val="00440525"/>
    <w:rsid w:val="00441D1B"/>
    <w:rsid w:val="00444B1F"/>
    <w:rsid w:val="00446769"/>
    <w:rsid w:val="004468BF"/>
    <w:rsid w:val="00450486"/>
    <w:rsid w:val="004529A8"/>
    <w:rsid w:val="00453AEF"/>
    <w:rsid w:val="00457249"/>
    <w:rsid w:val="00465DCD"/>
    <w:rsid w:val="00467A18"/>
    <w:rsid w:val="00470B62"/>
    <w:rsid w:val="00472737"/>
    <w:rsid w:val="0047768D"/>
    <w:rsid w:val="004823E2"/>
    <w:rsid w:val="00483C99"/>
    <w:rsid w:val="0049100A"/>
    <w:rsid w:val="004B137E"/>
    <w:rsid w:val="004B333B"/>
    <w:rsid w:val="004C3425"/>
    <w:rsid w:val="004C44E6"/>
    <w:rsid w:val="004C4FC7"/>
    <w:rsid w:val="004D06CE"/>
    <w:rsid w:val="004D49BD"/>
    <w:rsid w:val="004D6422"/>
    <w:rsid w:val="004E289E"/>
    <w:rsid w:val="004E5D92"/>
    <w:rsid w:val="004E696A"/>
    <w:rsid w:val="00505563"/>
    <w:rsid w:val="005077D6"/>
    <w:rsid w:val="0051273A"/>
    <w:rsid w:val="0051627D"/>
    <w:rsid w:val="005216CE"/>
    <w:rsid w:val="00521B3F"/>
    <w:rsid w:val="0052263E"/>
    <w:rsid w:val="00525466"/>
    <w:rsid w:val="005270EA"/>
    <w:rsid w:val="00530C7C"/>
    <w:rsid w:val="00532DBA"/>
    <w:rsid w:val="0054036B"/>
    <w:rsid w:val="00540873"/>
    <w:rsid w:val="005426BA"/>
    <w:rsid w:val="005516C3"/>
    <w:rsid w:val="00553212"/>
    <w:rsid w:val="005560D9"/>
    <w:rsid w:val="00565A21"/>
    <w:rsid w:val="00572EB0"/>
    <w:rsid w:val="00577543"/>
    <w:rsid w:val="00577784"/>
    <w:rsid w:val="0058056C"/>
    <w:rsid w:val="00581337"/>
    <w:rsid w:val="0058514F"/>
    <w:rsid w:val="005954C6"/>
    <w:rsid w:val="005A7901"/>
    <w:rsid w:val="005C1CA5"/>
    <w:rsid w:val="005C2E91"/>
    <w:rsid w:val="005C5483"/>
    <w:rsid w:val="005D0D06"/>
    <w:rsid w:val="005D5710"/>
    <w:rsid w:val="005D708E"/>
    <w:rsid w:val="005F13A7"/>
    <w:rsid w:val="005F7BF1"/>
    <w:rsid w:val="0060705E"/>
    <w:rsid w:val="00611042"/>
    <w:rsid w:val="0062065A"/>
    <w:rsid w:val="00621288"/>
    <w:rsid w:val="00632986"/>
    <w:rsid w:val="006365CB"/>
    <w:rsid w:val="006401B6"/>
    <w:rsid w:val="0064025A"/>
    <w:rsid w:val="00642613"/>
    <w:rsid w:val="00643273"/>
    <w:rsid w:val="0065128A"/>
    <w:rsid w:val="00651CC7"/>
    <w:rsid w:val="00672A97"/>
    <w:rsid w:val="006737CA"/>
    <w:rsid w:val="0067469D"/>
    <w:rsid w:val="00676705"/>
    <w:rsid w:val="006772E9"/>
    <w:rsid w:val="006778E8"/>
    <w:rsid w:val="00680237"/>
    <w:rsid w:val="00684C35"/>
    <w:rsid w:val="0068647F"/>
    <w:rsid w:val="00687A81"/>
    <w:rsid w:val="006914DF"/>
    <w:rsid w:val="006934AF"/>
    <w:rsid w:val="00694250"/>
    <w:rsid w:val="00695F1C"/>
    <w:rsid w:val="00695F62"/>
    <w:rsid w:val="00697D48"/>
    <w:rsid w:val="006A03BD"/>
    <w:rsid w:val="006B2B76"/>
    <w:rsid w:val="006B3641"/>
    <w:rsid w:val="006B4A1C"/>
    <w:rsid w:val="006B7CD3"/>
    <w:rsid w:val="006C01CD"/>
    <w:rsid w:val="006C7475"/>
    <w:rsid w:val="006D2990"/>
    <w:rsid w:val="006D44A2"/>
    <w:rsid w:val="006D5A12"/>
    <w:rsid w:val="006D6DDF"/>
    <w:rsid w:val="006D6EB1"/>
    <w:rsid w:val="006E6090"/>
    <w:rsid w:val="006E7265"/>
    <w:rsid w:val="006E7B1E"/>
    <w:rsid w:val="006F0075"/>
    <w:rsid w:val="006F1D3B"/>
    <w:rsid w:val="006F32A5"/>
    <w:rsid w:val="00703FE9"/>
    <w:rsid w:val="00705492"/>
    <w:rsid w:val="00706C6D"/>
    <w:rsid w:val="00715433"/>
    <w:rsid w:val="00715CA2"/>
    <w:rsid w:val="00720E6D"/>
    <w:rsid w:val="0072317B"/>
    <w:rsid w:val="00734333"/>
    <w:rsid w:val="00734464"/>
    <w:rsid w:val="007358DC"/>
    <w:rsid w:val="007415E8"/>
    <w:rsid w:val="00742A30"/>
    <w:rsid w:val="00745B32"/>
    <w:rsid w:val="00745D54"/>
    <w:rsid w:val="0074644B"/>
    <w:rsid w:val="00752B93"/>
    <w:rsid w:val="0075442A"/>
    <w:rsid w:val="00763291"/>
    <w:rsid w:val="0076754F"/>
    <w:rsid w:val="00767A01"/>
    <w:rsid w:val="00770644"/>
    <w:rsid w:val="007709D3"/>
    <w:rsid w:val="00771B04"/>
    <w:rsid w:val="00776AE3"/>
    <w:rsid w:val="007853EC"/>
    <w:rsid w:val="00785F71"/>
    <w:rsid w:val="007906C4"/>
    <w:rsid w:val="0079382C"/>
    <w:rsid w:val="00796D1D"/>
    <w:rsid w:val="007A0F89"/>
    <w:rsid w:val="007A107E"/>
    <w:rsid w:val="007B25F7"/>
    <w:rsid w:val="007B3ED9"/>
    <w:rsid w:val="007B70E8"/>
    <w:rsid w:val="007B73AC"/>
    <w:rsid w:val="007C00E1"/>
    <w:rsid w:val="007C3119"/>
    <w:rsid w:val="007C5354"/>
    <w:rsid w:val="007C5EAF"/>
    <w:rsid w:val="007D351B"/>
    <w:rsid w:val="007F1B84"/>
    <w:rsid w:val="007F2A0D"/>
    <w:rsid w:val="007F4655"/>
    <w:rsid w:val="007F5D2C"/>
    <w:rsid w:val="007F616C"/>
    <w:rsid w:val="00800094"/>
    <w:rsid w:val="008010B3"/>
    <w:rsid w:val="00801FB2"/>
    <w:rsid w:val="00802D80"/>
    <w:rsid w:val="008037DF"/>
    <w:rsid w:val="008039A8"/>
    <w:rsid w:val="008112C4"/>
    <w:rsid w:val="00813F46"/>
    <w:rsid w:val="0081674F"/>
    <w:rsid w:val="00817D04"/>
    <w:rsid w:val="00822680"/>
    <w:rsid w:val="00825742"/>
    <w:rsid w:val="00827B72"/>
    <w:rsid w:val="0083088A"/>
    <w:rsid w:val="00832F6E"/>
    <w:rsid w:val="00836CFD"/>
    <w:rsid w:val="00837812"/>
    <w:rsid w:val="00840AA8"/>
    <w:rsid w:val="00842E5B"/>
    <w:rsid w:val="008440A5"/>
    <w:rsid w:val="00844C7D"/>
    <w:rsid w:val="00846DCD"/>
    <w:rsid w:val="00852E57"/>
    <w:rsid w:val="0085660B"/>
    <w:rsid w:val="00860B00"/>
    <w:rsid w:val="00860B39"/>
    <w:rsid w:val="0086547D"/>
    <w:rsid w:val="00875168"/>
    <w:rsid w:val="00875FEC"/>
    <w:rsid w:val="00877291"/>
    <w:rsid w:val="00880A97"/>
    <w:rsid w:val="00894C0B"/>
    <w:rsid w:val="008954CD"/>
    <w:rsid w:val="00896CB3"/>
    <w:rsid w:val="008A07F3"/>
    <w:rsid w:val="008A3C4A"/>
    <w:rsid w:val="008A509E"/>
    <w:rsid w:val="008A7E0F"/>
    <w:rsid w:val="008B0341"/>
    <w:rsid w:val="008B23EC"/>
    <w:rsid w:val="008B2D88"/>
    <w:rsid w:val="008B2DC7"/>
    <w:rsid w:val="008B720F"/>
    <w:rsid w:val="008E0E6F"/>
    <w:rsid w:val="008E4D6E"/>
    <w:rsid w:val="008E6847"/>
    <w:rsid w:val="008F1F4A"/>
    <w:rsid w:val="008F263E"/>
    <w:rsid w:val="008F3344"/>
    <w:rsid w:val="008F4DA9"/>
    <w:rsid w:val="00900173"/>
    <w:rsid w:val="00902489"/>
    <w:rsid w:val="009046C3"/>
    <w:rsid w:val="009050CF"/>
    <w:rsid w:val="00910486"/>
    <w:rsid w:val="009127F0"/>
    <w:rsid w:val="00933C8D"/>
    <w:rsid w:val="00936466"/>
    <w:rsid w:val="00936F4C"/>
    <w:rsid w:val="0094510B"/>
    <w:rsid w:val="0097428F"/>
    <w:rsid w:val="009744B5"/>
    <w:rsid w:val="009818B4"/>
    <w:rsid w:val="00981D19"/>
    <w:rsid w:val="009826C0"/>
    <w:rsid w:val="00983573"/>
    <w:rsid w:val="00987451"/>
    <w:rsid w:val="00991B10"/>
    <w:rsid w:val="009938AD"/>
    <w:rsid w:val="00994E75"/>
    <w:rsid w:val="0099729E"/>
    <w:rsid w:val="009A236C"/>
    <w:rsid w:val="009B0BC6"/>
    <w:rsid w:val="009B1611"/>
    <w:rsid w:val="009B38BE"/>
    <w:rsid w:val="009B423E"/>
    <w:rsid w:val="009B4351"/>
    <w:rsid w:val="009B5475"/>
    <w:rsid w:val="009B5720"/>
    <w:rsid w:val="009C7370"/>
    <w:rsid w:val="009C7C37"/>
    <w:rsid w:val="009D11E6"/>
    <w:rsid w:val="009E3932"/>
    <w:rsid w:val="009F0677"/>
    <w:rsid w:val="009F36C8"/>
    <w:rsid w:val="00A0019E"/>
    <w:rsid w:val="00A122C5"/>
    <w:rsid w:val="00A13FB8"/>
    <w:rsid w:val="00A1464A"/>
    <w:rsid w:val="00A148FD"/>
    <w:rsid w:val="00A16644"/>
    <w:rsid w:val="00A17C13"/>
    <w:rsid w:val="00A2052D"/>
    <w:rsid w:val="00A252AC"/>
    <w:rsid w:val="00A37692"/>
    <w:rsid w:val="00A4209B"/>
    <w:rsid w:val="00A46178"/>
    <w:rsid w:val="00A576F6"/>
    <w:rsid w:val="00A62A32"/>
    <w:rsid w:val="00A63260"/>
    <w:rsid w:val="00A6394C"/>
    <w:rsid w:val="00A67B17"/>
    <w:rsid w:val="00A70FF1"/>
    <w:rsid w:val="00A71062"/>
    <w:rsid w:val="00A743EF"/>
    <w:rsid w:val="00A75D3F"/>
    <w:rsid w:val="00A76CD0"/>
    <w:rsid w:val="00A833BC"/>
    <w:rsid w:val="00A83A4E"/>
    <w:rsid w:val="00A85401"/>
    <w:rsid w:val="00A900E1"/>
    <w:rsid w:val="00A97FB9"/>
    <w:rsid w:val="00AA5308"/>
    <w:rsid w:val="00AA6423"/>
    <w:rsid w:val="00AA6D99"/>
    <w:rsid w:val="00AB150F"/>
    <w:rsid w:val="00AB4F06"/>
    <w:rsid w:val="00AB6741"/>
    <w:rsid w:val="00AB7626"/>
    <w:rsid w:val="00AB78BA"/>
    <w:rsid w:val="00AC10D8"/>
    <w:rsid w:val="00AC218B"/>
    <w:rsid w:val="00AC25E9"/>
    <w:rsid w:val="00AC2A51"/>
    <w:rsid w:val="00AD3846"/>
    <w:rsid w:val="00AD5028"/>
    <w:rsid w:val="00AD54A9"/>
    <w:rsid w:val="00AE43DA"/>
    <w:rsid w:val="00AE5A66"/>
    <w:rsid w:val="00AF1AD9"/>
    <w:rsid w:val="00B00886"/>
    <w:rsid w:val="00B03F0F"/>
    <w:rsid w:val="00B06138"/>
    <w:rsid w:val="00B1231A"/>
    <w:rsid w:val="00B36946"/>
    <w:rsid w:val="00B46A2F"/>
    <w:rsid w:val="00B50D9A"/>
    <w:rsid w:val="00B50F21"/>
    <w:rsid w:val="00B545BE"/>
    <w:rsid w:val="00B55882"/>
    <w:rsid w:val="00B621ED"/>
    <w:rsid w:val="00B64211"/>
    <w:rsid w:val="00B669E2"/>
    <w:rsid w:val="00B73720"/>
    <w:rsid w:val="00B810E8"/>
    <w:rsid w:val="00B826A9"/>
    <w:rsid w:val="00B85472"/>
    <w:rsid w:val="00B93643"/>
    <w:rsid w:val="00B93A5E"/>
    <w:rsid w:val="00B976A6"/>
    <w:rsid w:val="00B97F70"/>
    <w:rsid w:val="00BA2C64"/>
    <w:rsid w:val="00BA2CAC"/>
    <w:rsid w:val="00BA2F22"/>
    <w:rsid w:val="00BA637A"/>
    <w:rsid w:val="00BA6F5F"/>
    <w:rsid w:val="00BA6FA9"/>
    <w:rsid w:val="00BA772D"/>
    <w:rsid w:val="00BB5C2C"/>
    <w:rsid w:val="00BC1673"/>
    <w:rsid w:val="00BC1EAF"/>
    <w:rsid w:val="00BC24B3"/>
    <w:rsid w:val="00BC3756"/>
    <w:rsid w:val="00BC5003"/>
    <w:rsid w:val="00BC6B76"/>
    <w:rsid w:val="00BD4016"/>
    <w:rsid w:val="00BE210E"/>
    <w:rsid w:val="00BE36FC"/>
    <w:rsid w:val="00BE5F8E"/>
    <w:rsid w:val="00BE78B3"/>
    <w:rsid w:val="00BF1E7D"/>
    <w:rsid w:val="00C031BD"/>
    <w:rsid w:val="00C052D0"/>
    <w:rsid w:val="00C104DE"/>
    <w:rsid w:val="00C10C85"/>
    <w:rsid w:val="00C114BF"/>
    <w:rsid w:val="00C17C42"/>
    <w:rsid w:val="00C21494"/>
    <w:rsid w:val="00C218E8"/>
    <w:rsid w:val="00C2199F"/>
    <w:rsid w:val="00C25447"/>
    <w:rsid w:val="00C2577D"/>
    <w:rsid w:val="00C32B41"/>
    <w:rsid w:val="00C4104F"/>
    <w:rsid w:val="00C41B7F"/>
    <w:rsid w:val="00C46F6F"/>
    <w:rsid w:val="00C47A75"/>
    <w:rsid w:val="00C50B45"/>
    <w:rsid w:val="00C53862"/>
    <w:rsid w:val="00C56218"/>
    <w:rsid w:val="00C571E0"/>
    <w:rsid w:val="00C60585"/>
    <w:rsid w:val="00C628C0"/>
    <w:rsid w:val="00C64065"/>
    <w:rsid w:val="00C67B5E"/>
    <w:rsid w:val="00C705FB"/>
    <w:rsid w:val="00C75F4A"/>
    <w:rsid w:val="00C76EDA"/>
    <w:rsid w:val="00C80848"/>
    <w:rsid w:val="00C836A1"/>
    <w:rsid w:val="00C839BE"/>
    <w:rsid w:val="00C846BB"/>
    <w:rsid w:val="00C90A5A"/>
    <w:rsid w:val="00C962CA"/>
    <w:rsid w:val="00CA483D"/>
    <w:rsid w:val="00CA5A4B"/>
    <w:rsid w:val="00CA67CC"/>
    <w:rsid w:val="00CA6DA1"/>
    <w:rsid w:val="00CC4539"/>
    <w:rsid w:val="00CD64D2"/>
    <w:rsid w:val="00CD73A3"/>
    <w:rsid w:val="00CF6E1F"/>
    <w:rsid w:val="00CF6E87"/>
    <w:rsid w:val="00D0070F"/>
    <w:rsid w:val="00D01A61"/>
    <w:rsid w:val="00D01D29"/>
    <w:rsid w:val="00D03453"/>
    <w:rsid w:val="00D0686A"/>
    <w:rsid w:val="00D13D2D"/>
    <w:rsid w:val="00D20A27"/>
    <w:rsid w:val="00D23089"/>
    <w:rsid w:val="00D24E95"/>
    <w:rsid w:val="00D25EA5"/>
    <w:rsid w:val="00D26C8A"/>
    <w:rsid w:val="00D27812"/>
    <w:rsid w:val="00D31D47"/>
    <w:rsid w:val="00D32E36"/>
    <w:rsid w:val="00D373E6"/>
    <w:rsid w:val="00D402CA"/>
    <w:rsid w:val="00D413CF"/>
    <w:rsid w:val="00D42751"/>
    <w:rsid w:val="00D44772"/>
    <w:rsid w:val="00D54B8C"/>
    <w:rsid w:val="00D5746A"/>
    <w:rsid w:val="00D578C0"/>
    <w:rsid w:val="00D6075D"/>
    <w:rsid w:val="00D61371"/>
    <w:rsid w:val="00D62A79"/>
    <w:rsid w:val="00D73DB9"/>
    <w:rsid w:val="00D74138"/>
    <w:rsid w:val="00D747E1"/>
    <w:rsid w:val="00D750EC"/>
    <w:rsid w:val="00D752BB"/>
    <w:rsid w:val="00D75DF1"/>
    <w:rsid w:val="00D76D11"/>
    <w:rsid w:val="00D77AB3"/>
    <w:rsid w:val="00D86A8A"/>
    <w:rsid w:val="00D91F8B"/>
    <w:rsid w:val="00D93D07"/>
    <w:rsid w:val="00D95F87"/>
    <w:rsid w:val="00D9696C"/>
    <w:rsid w:val="00DA4C10"/>
    <w:rsid w:val="00DA5768"/>
    <w:rsid w:val="00DA5A38"/>
    <w:rsid w:val="00DA7E50"/>
    <w:rsid w:val="00DB0472"/>
    <w:rsid w:val="00DB1497"/>
    <w:rsid w:val="00DB37D3"/>
    <w:rsid w:val="00DB3BD8"/>
    <w:rsid w:val="00DB3DD4"/>
    <w:rsid w:val="00DB41BF"/>
    <w:rsid w:val="00DB505A"/>
    <w:rsid w:val="00DC2E29"/>
    <w:rsid w:val="00DC3D18"/>
    <w:rsid w:val="00DC545C"/>
    <w:rsid w:val="00DC5BA6"/>
    <w:rsid w:val="00DC5C03"/>
    <w:rsid w:val="00DC77DF"/>
    <w:rsid w:val="00DC7DF8"/>
    <w:rsid w:val="00DD0456"/>
    <w:rsid w:val="00DD0F47"/>
    <w:rsid w:val="00DD1313"/>
    <w:rsid w:val="00DD2784"/>
    <w:rsid w:val="00DD300B"/>
    <w:rsid w:val="00DD3A7B"/>
    <w:rsid w:val="00DE0C9B"/>
    <w:rsid w:val="00DE7742"/>
    <w:rsid w:val="00DF0928"/>
    <w:rsid w:val="00DF2D2A"/>
    <w:rsid w:val="00DF4B03"/>
    <w:rsid w:val="00DF7553"/>
    <w:rsid w:val="00DF7998"/>
    <w:rsid w:val="00E01D0E"/>
    <w:rsid w:val="00E1193D"/>
    <w:rsid w:val="00E12BC6"/>
    <w:rsid w:val="00E143BE"/>
    <w:rsid w:val="00E17DDB"/>
    <w:rsid w:val="00E20A68"/>
    <w:rsid w:val="00E35EA9"/>
    <w:rsid w:val="00E42BAD"/>
    <w:rsid w:val="00E45BC5"/>
    <w:rsid w:val="00E463AC"/>
    <w:rsid w:val="00E51A3B"/>
    <w:rsid w:val="00E55A69"/>
    <w:rsid w:val="00E57675"/>
    <w:rsid w:val="00E57D07"/>
    <w:rsid w:val="00E61A1A"/>
    <w:rsid w:val="00E74538"/>
    <w:rsid w:val="00E74539"/>
    <w:rsid w:val="00E74892"/>
    <w:rsid w:val="00E765C6"/>
    <w:rsid w:val="00E85701"/>
    <w:rsid w:val="00E87B9C"/>
    <w:rsid w:val="00E91866"/>
    <w:rsid w:val="00E92D09"/>
    <w:rsid w:val="00EA7621"/>
    <w:rsid w:val="00EB40C5"/>
    <w:rsid w:val="00EB52ED"/>
    <w:rsid w:val="00EC329C"/>
    <w:rsid w:val="00ED1AE0"/>
    <w:rsid w:val="00ED2C0A"/>
    <w:rsid w:val="00ED5C0F"/>
    <w:rsid w:val="00EE2353"/>
    <w:rsid w:val="00EE4861"/>
    <w:rsid w:val="00F014EC"/>
    <w:rsid w:val="00F038CC"/>
    <w:rsid w:val="00F0451F"/>
    <w:rsid w:val="00F05EE1"/>
    <w:rsid w:val="00F2244D"/>
    <w:rsid w:val="00F27E91"/>
    <w:rsid w:val="00F31F27"/>
    <w:rsid w:val="00F34E7D"/>
    <w:rsid w:val="00F3540D"/>
    <w:rsid w:val="00F367EF"/>
    <w:rsid w:val="00F36AB6"/>
    <w:rsid w:val="00F419D2"/>
    <w:rsid w:val="00F4243D"/>
    <w:rsid w:val="00F52DC9"/>
    <w:rsid w:val="00F64009"/>
    <w:rsid w:val="00F75831"/>
    <w:rsid w:val="00F81871"/>
    <w:rsid w:val="00F83457"/>
    <w:rsid w:val="00F8374C"/>
    <w:rsid w:val="00F83FC3"/>
    <w:rsid w:val="00F84FAE"/>
    <w:rsid w:val="00F8673D"/>
    <w:rsid w:val="00FA027A"/>
    <w:rsid w:val="00FA1340"/>
    <w:rsid w:val="00FA2435"/>
    <w:rsid w:val="00FA4EA9"/>
    <w:rsid w:val="00FA6495"/>
    <w:rsid w:val="00FB6C31"/>
    <w:rsid w:val="00FC3224"/>
    <w:rsid w:val="00FC4E50"/>
    <w:rsid w:val="00FC56AA"/>
    <w:rsid w:val="00FC7071"/>
    <w:rsid w:val="00FD04F1"/>
    <w:rsid w:val="00FD2E08"/>
    <w:rsid w:val="00FD355E"/>
    <w:rsid w:val="00FD480A"/>
    <w:rsid w:val="00FD5BAC"/>
    <w:rsid w:val="00FE3096"/>
    <w:rsid w:val="00FE50F3"/>
    <w:rsid w:val="00FF2E53"/>
    <w:rsid w:val="00FF2F8E"/>
    <w:rsid w:val="00FF44A0"/>
    <w:rsid w:val="00FF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E5C7E61"/>
  <w15:chartTrackingRefBased/>
  <w15:docId w15:val="{07B8F7EA-4855-45F2-BFB9-6E1EE68A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27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227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2560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2560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52D"/>
    <w:rPr>
      <w:color w:val="0563C1" w:themeColor="hyperlink"/>
      <w:u w:val="single"/>
    </w:rPr>
  </w:style>
  <w:style w:type="character" w:styleId="FollowedHyperlink">
    <w:name w:val="FollowedHyperlink"/>
    <w:basedOn w:val="DefaultParagraphFont"/>
    <w:uiPriority w:val="99"/>
    <w:semiHidden/>
    <w:unhideWhenUsed/>
    <w:rsid w:val="00A2052D"/>
    <w:rPr>
      <w:color w:val="954F72" w:themeColor="followedHyperlink"/>
      <w:u w:val="single"/>
    </w:rPr>
  </w:style>
  <w:style w:type="table" w:styleId="TableGrid">
    <w:name w:val="Table Grid"/>
    <w:basedOn w:val="TableNormal"/>
    <w:uiPriority w:val="39"/>
    <w:rsid w:val="0012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5BE"/>
    <w:rPr>
      <w:rFonts w:ascii="Segoe UI" w:hAnsi="Segoe UI" w:cs="Segoe UI"/>
      <w:sz w:val="18"/>
      <w:szCs w:val="18"/>
    </w:rPr>
  </w:style>
  <w:style w:type="paragraph" w:styleId="Header">
    <w:name w:val="header"/>
    <w:basedOn w:val="Normal"/>
    <w:link w:val="HeaderChar"/>
    <w:uiPriority w:val="99"/>
    <w:unhideWhenUsed/>
    <w:rsid w:val="00B66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9E2"/>
  </w:style>
  <w:style w:type="paragraph" w:styleId="Footer">
    <w:name w:val="footer"/>
    <w:basedOn w:val="Normal"/>
    <w:link w:val="FooterChar"/>
    <w:uiPriority w:val="99"/>
    <w:unhideWhenUsed/>
    <w:rsid w:val="00B66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9E2"/>
  </w:style>
  <w:style w:type="character" w:styleId="CommentReference">
    <w:name w:val="annotation reference"/>
    <w:basedOn w:val="DefaultParagraphFont"/>
    <w:uiPriority w:val="99"/>
    <w:semiHidden/>
    <w:unhideWhenUsed/>
    <w:rsid w:val="00CD64D2"/>
    <w:rPr>
      <w:sz w:val="16"/>
      <w:szCs w:val="16"/>
    </w:rPr>
  </w:style>
  <w:style w:type="paragraph" w:styleId="CommentText">
    <w:name w:val="annotation text"/>
    <w:basedOn w:val="Normal"/>
    <w:link w:val="CommentTextChar"/>
    <w:uiPriority w:val="99"/>
    <w:semiHidden/>
    <w:unhideWhenUsed/>
    <w:rsid w:val="00CD64D2"/>
    <w:pPr>
      <w:spacing w:line="240" w:lineRule="auto"/>
    </w:pPr>
    <w:rPr>
      <w:sz w:val="20"/>
      <w:szCs w:val="20"/>
    </w:rPr>
  </w:style>
  <w:style w:type="character" w:customStyle="1" w:styleId="CommentTextChar">
    <w:name w:val="Comment Text Char"/>
    <w:basedOn w:val="DefaultParagraphFont"/>
    <w:link w:val="CommentText"/>
    <w:uiPriority w:val="99"/>
    <w:semiHidden/>
    <w:rsid w:val="00CD64D2"/>
    <w:rPr>
      <w:sz w:val="20"/>
      <w:szCs w:val="20"/>
    </w:rPr>
  </w:style>
  <w:style w:type="paragraph" w:styleId="CommentSubject">
    <w:name w:val="annotation subject"/>
    <w:basedOn w:val="CommentText"/>
    <w:next w:val="CommentText"/>
    <w:link w:val="CommentSubjectChar"/>
    <w:uiPriority w:val="99"/>
    <w:semiHidden/>
    <w:unhideWhenUsed/>
    <w:rsid w:val="00CD64D2"/>
    <w:rPr>
      <w:b/>
      <w:bCs/>
    </w:rPr>
  </w:style>
  <w:style w:type="character" w:customStyle="1" w:styleId="CommentSubjectChar">
    <w:name w:val="Comment Subject Char"/>
    <w:basedOn w:val="CommentTextChar"/>
    <w:link w:val="CommentSubject"/>
    <w:uiPriority w:val="99"/>
    <w:semiHidden/>
    <w:rsid w:val="00CD64D2"/>
    <w:rPr>
      <w:b/>
      <w:bCs/>
      <w:sz w:val="20"/>
      <w:szCs w:val="20"/>
    </w:rPr>
  </w:style>
  <w:style w:type="character" w:customStyle="1" w:styleId="Heading1Char">
    <w:name w:val="Heading 1 Char"/>
    <w:basedOn w:val="DefaultParagraphFont"/>
    <w:link w:val="Heading1"/>
    <w:uiPriority w:val="9"/>
    <w:rsid w:val="001227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27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271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271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2271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2560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25605"/>
    <w:rPr>
      <w:rFonts w:asciiTheme="majorHAnsi" w:eastAsiaTheme="majorEastAsia" w:hAnsiTheme="majorHAnsi" w:cstheme="majorBidi"/>
      <w:i/>
      <w:iCs/>
      <w:color w:val="1F4D78" w:themeColor="accent1" w:themeShade="7F"/>
    </w:rPr>
  </w:style>
  <w:style w:type="character" w:styleId="Strong">
    <w:name w:val="Strong"/>
    <w:basedOn w:val="DefaultParagraphFont"/>
    <w:uiPriority w:val="22"/>
    <w:qFormat/>
    <w:rsid w:val="00225605"/>
    <w:rPr>
      <w:b/>
      <w:bCs/>
    </w:rPr>
  </w:style>
  <w:style w:type="paragraph" w:styleId="ListParagraph">
    <w:name w:val="List Paragraph"/>
    <w:basedOn w:val="Normal"/>
    <w:uiPriority w:val="34"/>
    <w:qFormat/>
    <w:rsid w:val="009938AD"/>
    <w:pPr>
      <w:ind w:left="720"/>
      <w:contextualSpacing/>
    </w:pPr>
  </w:style>
  <w:style w:type="paragraph" w:styleId="NormalWeb">
    <w:name w:val="Normal (Web)"/>
    <w:basedOn w:val="Normal"/>
    <w:uiPriority w:val="99"/>
    <w:semiHidden/>
    <w:unhideWhenUsed/>
    <w:rsid w:val="009B4351"/>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C3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8025">
      <w:bodyDiv w:val="1"/>
      <w:marLeft w:val="0"/>
      <w:marRight w:val="0"/>
      <w:marTop w:val="0"/>
      <w:marBottom w:val="0"/>
      <w:divBdr>
        <w:top w:val="none" w:sz="0" w:space="0" w:color="auto"/>
        <w:left w:val="none" w:sz="0" w:space="0" w:color="auto"/>
        <w:bottom w:val="none" w:sz="0" w:space="0" w:color="auto"/>
        <w:right w:val="none" w:sz="0" w:space="0" w:color="auto"/>
      </w:divBdr>
    </w:div>
    <w:div w:id="810710454">
      <w:bodyDiv w:val="1"/>
      <w:marLeft w:val="0"/>
      <w:marRight w:val="0"/>
      <w:marTop w:val="0"/>
      <w:marBottom w:val="0"/>
      <w:divBdr>
        <w:top w:val="none" w:sz="0" w:space="0" w:color="auto"/>
        <w:left w:val="none" w:sz="0" w:space="0" w:color="auto"/>
        <w:bottom w:val="none" w:sz="0" w:space="0" w:color="auto"/>
        <w:right w:val="none" w:sz="0" w:space="0" w:color="auto"/>
      </w:divBdr>
    </w:div>
    <w:div w:id="1159880294">
      <w:bodyDiv w:val="1"/>
      <w:marLeft w:val="0"/>
      <w:marRight w:val="0"/>
      <w:marTop w:val="0"/>
      <w:marBottom w:val="0"/>
      <w:divBdr>
        <w:top w:val="none" w:sz="0" w:space="0" w:color="auto"/>
        <w:left w:val="none" w:sz="0" w:space="0" w:color="auto"/>
        <w:bottom w:val="none" w:sz="0" w:space="0" w:color="auto"/>
        <w:right w:val="none" w:sz="0" w:space="0" w:color="auto"/>
      </w:divBdr>
    </w:div>
    <w:div w:id="147333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naic.org/sites/default/files/inline-files/MDL-803.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5DDE5-850C-4E3C-8E1F-C6C901C9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 Laura L.</dc:creator>
  <cp:keywords/>
  <dc:description/>
  <cp:lastModifiedBy>Arp, Laura L.</cp:lastModifiedBy>
  <cp:revision>11</cp:revision>
  <cp:lastPrinted>2019-11-16T01:32:00Z</cp:lastPrinted>
  <dcterms:created xsi:type="dcterms:W3CDTF">2021-11-17T19:58:00Z</dcterms:created>
  <dcterms:modified xsi:type="dcterms:W3CDTF">2022-04-15T21:59:00Z</dcterms:modified>
</cp:coreProperties>
</file>